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002CC8">
      <w:pPr>
        <w:spacing w:before="122" w:line="182" w:lineRule="auto"/>
        <w:ind w:left="3605"/>
        <w:outlineLvl w:val="0"/>
        <w:rPr>
          <w:rFonts w:ascii="Microsoft JhengHei" w:hAnsi="Microsoft JhengHei" w:eastAsia="Microsoft JhengHei" w:cs="Microsoft JhengHei"/>
          <w:b/>
          <w:bCs/>
          <w:spacing w:val="20"/>
          <w:sz w:val="28"/>
          <w:szCs w:val="28"/>
        </w:rPr>
      </w:pPr>
    </w:p>
    <w:p w14:paraId="2B3654A7">
      <w:pPr>
        <w:pStyle w:val="3"/>
        <w:rPr>
          <w:rFonts w:ascii="Microsoft JhengHei" w:hAnsi="Microsoft JhengHei" w:eastAsia="Microsoft JhengHei" w:cs="Microsoft JhengHei"/>
          <w:b/>
          <w:bCs/>
          <w:spacing w:val="20"/>
          <w:sz w:val="28"/>
          <w:szCs w:val="28"/>
        </w:rPr>
      </w:pPr>
    </w:p>
    <w:p w14:paraId="08C2E30B">
      <w:pPr>
        <w:pStyle w:val="4"/>
      </w:pPr>
    </w:p>
    <w:p w14:paraId="48AA83A7">
      <w:pPr>
        <w:pStyle w:val="3"/>
      </w:pPr>
    </w:p>
    <w:p w14:paraId="73A4A257">
      <w:pPr>
        <w:spacing w:before="122" w:line="182" w:lineRule="auto"/>
        <w:jc w:val="center"/>
        <w:outlineLvl w:val="0"/>
        <w:rPr>
          <w:rFonts w:ascii="Microsoft JhengHei" w:hAnsi="Microsoft JhengHei" w:eastAsia="Microsoft JhengHei" w:cs="Microsoft JhengHei"/>
          <w:sz w:val="28"/>
          <w:szCs w:val="28"/>
        </w:rPr>
      </w:pPr>
      <w:r>
        <w:rPr>
          <w:rFonts w:hint="eastAsia" w:ascii="宋体" w:hAnsi="宋体" w:eastAsia="宋体" w:cs="宋体"/>
          <w:b/>
          <w:bCs/>
          <w:spacing w:val="20"/>
          <w:sz w:val="30"/>
          <w:szCs w:val="30"/>
        </w:rPr>
        <w:t>(</w:t>
      </w:r>
      <w:r>
        <w:rPr>
          <w:rFonts w:hint="eastAsia" w:ascii="宋体" w:hAnsi="宋体" w:eastAsia="宋体" w:cs="宋体"/>
          <w:spacing w:val="20"/>
          <w:sz w:val="30"/>
          <w:szCs w:val="30"/>
          <w:lang w:val="en-US" w:eastAsia="zh-CN"/>
        </w:rPr>
        <w:t>封闭</w:t>
      </w:r>
      <w:r>
        <w:rPr>
          <w:rFonts w:hint="eastAsia" w:ascii="宋体" w:hAnsi="宋体" w:eastAsia="宋体" w:cs="宋体"/>
          <w:spacing w:val="20"/>
          <w:sz w:val="30"/>
          <w:szCs w:val="30"/>
        </w:rPr>
        <w:t>式</w:t>
      </w:r>
      <w:r>
        <w:rPr>
          <w:rFonts w:hint="eastAsia" w:ascii="宋体" w:hAnsi="宋体" w:eastAsia="宋体" w:cs="宋体"/>
          <w:b/>
          <w:bCs/>
          <w:spacing w:val="20"/>
          <w:sz w:val="30"/>
          <w:szCs w:val="30"/>
        </w:rPr>
        <w:t>)</w:t>
      </w:r>
    </w:p>
    <w:p w14:paraId="1284498C">
      <w:pPr>
        <w:spacing w:line="411" w:lineRule="auto"/>
        <w:rPr>
          <w:rFonts w:ascii="Arial"/>
          <w:sz w:val="21"/>
        </w:rPr>
      </w:pPr>
    </w:p>
    <w:p w14:paraId="3498081C">
      <w:pPr>
        <w:keepNext w:val="0"/>
        <w:keepLines w:val="0"/>
        <w:pageBreakBefore w:val="0"/>
        <w:widowControl/>
        <w:kinsoku w:val="0"/>
        <w:wordWrap/>
        <w:overflowPunct/>
        <w:topLinePunct w:val="0"/>
        <w:autoSpaceDE w:val="0"/>
        <w:autoSpaceDN w:val="0"/>
        <w:bidi w:val="0"/>
        <w:adjustRightInd w:val="0"/>
        <w:snapToGrid w:val="0"/>
        <w:spacing w:line="221" w:lineRule="auto"/>
        <w:jc w:val="center"/>
        <w:textAlignment w:val="baseline"/>
        <w:outlineLvl w:val="0"/>
        <w:rPr>
          <w:rFonts w:ascii="宋体" w:hAnsi="宋体" w:eastAsia="宋体" w:cs="宋体"/>
          <w:sz w:val="84"/>
          <w:szCs w:val="84"/>
        </w:rPr>
      </w:pPr>
      <w:r>
        <w:rPr>
          <w:rFonts w:ascii="宋体" w:hAnsi="宋体" w:eastAsia="宋体" w:cs="宋体"/>
          <w:spacing w:val="17"/>
          <w:sz w:val="84"/>
          <w:szCs w:val="84"/>
        </w:rPr>
        <w:t>框架协议</w:t>
      </w:r>
    </w:p>
    <w:p w14:paraId="38A4350A">
      <w:pPr>
        <w:keepNext w:val="0"/>
        <w:keepLines w:val="0"/>
        <w:pageBreakBefore w:val="0"/>
        <w:widowControl/>
        <w:kinsoku w:val="0"/>
        <w:wordWrap/>
        <w:overflowPunct/>
        <w:topLinePunct w:val="0"/>
        <w:autoSpaceDE w:val="0"/>
        <w:autoSpaceDN w:val="0"/>
        <w:bidi w:val="0"/>
        <w:adjustRightInd w:val="0"/>
        <w:snapToGrid w:val="0"/>
        <w:spacing w:line="221" w:lineRule="auto"/>
        <w:jc w:val="center"/>
        <w:textAlignment w:val="baseline"/>
        <w:outlineLvl w:val="0"/>
        <w:rPr>
          <w:rFonts w:ascii="宋体" w:hAnsi="宋体" w:eastAsia="宋体" w:cs="宋体"/>
          <w:sz w:val="57"/>
          <w:szCs w:val="57"/>
        </w:rPr>
      </w:pPr>
      <w:r>
        <w:rPr>
          <w:rFonts w:ascii="宋体" w:hAnsi="宋体" w:eastAsia="宋体" w:cs="宋体"/>
          <w:spacing w:val="15"/>
          <w:sz w:val="84"/>
          <w:szCs w:val="84"/>
        </w:rPr>
        <w:t>征集文件</w:t>
      </w:r>
    </w:p>
    <w:p w14:paraId="10DEBF7D">
      <w:pPr>
        <w:spacing w:line="312" w:lineRule="auto"/>
        <w:rPr>
          <w:rFonts w:ascii="Arial"/>
          <w:sz w:val="21"/>
        </w:rPr>
      </w:pPr>
    </w:p>
    <w:p w14:paraId="39A2BB3E">
      <w:pPr>
        <w:spacing w:line="312" w:lineRule="auto"/>
        <w:rPr>
          <w:rFonts w:ascii="Arial"/>
          <w:sz w:val="21"/>
        </w:rPr>
      </w:pPr>
    </w:p>
    <w:p w14:paraId="7A5B78D9">
      <w:pPr>
        <w:spacing w:line="312" w:lineRule="auto"/>
        <w:rPr>
          <w:rFonts w:ascii="Arial"/>
          <w:sz w:val="21"/>
        </w:rPr>
      </w:pPr>
    </w:p>
    <w:p w14:paraId="7E3F6332">
      <w:pPr>
        <w:spacing w:before="104" w:line="397" w:lineRule="auto"/>
        <w:ind w:left="2338" w:right="1330" w:hanging="1026"/>
        <w:rPr>
          <w:rFonts w:ascii="宋体" w:hAnsi="宋体" w:eastAsia="宋体" w:cs="宋体"/>
          <w:spacing w:val="11"/>
          <w:sz w:val="24"/>
          <w:szCs w:val="24"/>
        </w:rPr>
      </w:pPr>
    </w:p>
    <w:p w14:paraId="3DE30DAE">
      <w:pPr>
        <w:spacing w:before="104" w:line="397" w:lineRule="auto"/>
        <w:ind w:right="1330"/>
        <w:jc w:val="both"/>
        <w:rPr>
          <w:rFonts w:hint="eastAsia" w:ascii="宋体" w:hAnsi="宋体" w:eastAsia="宋体" w:cs="宋体"/>
          <w:spacing w:val="11"/>
          <w:sz w:val="28"/>
          <w:szCs w:val="28"/>
        </w:rPr>
      </w:pPr>
    </w:p>
    <w:p w14:paraId="2CA278EA">
      <w:pPr>
        <w:keepNext w:val="0"/>
        <w:keepLines w:val="0"/>
        <w:pageBreakBefore w:val="0"/>
        <w:widowControl/>
        <w:kinsoku w:val="0"/>
        <w:wordWrap/>
        <w:overflowPunct/>
        <w:topLinePunct w:val="0"/>
        <w:autoSpaceDE w:val="0"/>
        <w:autoSpaceDN w:val="0"/>
        <w:bidi w:val="0"/>
        <w:adjustRightInd w:val="0"/>
        <w:snapToGrid w:val="0"/>
        <w:spacing w:line="396" w:lineRule="auto"/>
        <w:ind w:right="0"/>
        <w:jc w:val="center"/>
        <w:textAlignment w:val="baseline"/>
        <w:rPr>
          <w:rFonts w:hint="eastAsia" w:ascii="宋体" w:hAnsi="宋体" w:eastAsia="宋体" w:cs="宋体"/>
          <w:spacing w:val="24"/>
          <w:sz w:val="28"/>
          <w:szCs w:val="28"/>
        </w:rPr>
      </w:pPr>
    </w:p>
    <w:p w14:paraId="4074AD00">
      <w:pPr>
        <w:keepNext w:val="0"/>
        <w:keepLines w:val="0"/>
        <w:pageBreakBefore w:val="0"/>
        <w:widowControl/>
        <w:kinsoku w:val="0"/>
        <w:wordWrap/>
        <w:overflowPunct/>
        <w:topLinePunct w:val="0"/>
        <w:autoSpaceDE w:val="0"/>
        <w:autoSpaceDN w:val="0"/>
        <w:bidi w:val="0"/>
        <w:adjustRightInd w:val="0"/>
        <w:snapToGrid w:val="0"/>
        <w:spacing w:line="396" w:lineRule="auto"/>
        <w:ind w:right="0"/>
        <w:jc w:val="center"/>
        <w:textAlignment w:val="baseline"/>
        <w:rPr>
          <w:rFonts w:hint="eastAsia" w:ascii="宋体" w:hAnsi="宋体" w:eastAsia="宋体" w:cs="宋体"/>
          <w:b/>
          <w:bCs/>
          <w:spacing w:val="24"/>
          <w:sz w:val="28"/>
          <w:szCs w:val="28"/>
        </w:rPr>
      </w:pPr>
      <w:r>
        <w:rPr>
          <w:rFonts w:hint="eastAsia" w:ascii="宋体" w:hAnsi="宋体" w:eastAsia="宋体" w:cs="宋体"/>
          <w:b/>
          <w:bCs/>
          <w:spacing w:val="24"/>
          <w:sz w:val="28"/>
          <w:szCs w:val="28"/>
        </w:rPr>
        <w:t>项目名称：2026-2027年度</w:t>
      </w:r>
      <w:r>
        <w:rPr>
          <w:rFonts w:hint="eastAsia" w:ascii="宋体" w:hAnsi="宋体" w:eastAsia="宋体" w:cs="宋体"/>
          <w:b/>
          <w:bCs/>
          <w:spacing w:val="24"/>
          <w:sz w:val="28"/>
          <w:szCs w:val="28"/>
          <w:lang w:val="en-US" w:eastAsia="zh-CN"/>
        </w:rPr>
        <w:t>复印机</w:t>
      </w:r>
      <w:r>
        <w:rPr>
          <w:rFonts w:hint="eastAsia" w:ascii="宋体" w:hAnsi="宋体" w:eastAsia="宋体" w:cs="宋体"/>
          <w:b/>
          <w:bCs/>
          <w:spacing w:val="24"/>
          <w:sz w:val="28"/>
          <w:szCs w:val="28"/>
        </w:rPr>
        <w:t>框架协议采购项目</w:t>
      </w:r>
    </w:p>
    <w:p w14:paraId="74FCA4C4">
      <w:pPr>
        <w:keepNext w:val="0"/>
        <w:keepLines w:val="0"/>
        <w:pageBreakBefore w:val="0"/>
        <w:widowControl/>
        <w:kinsoku w:val="0"/>
        <w:wordWrap/>
        <w:overflowPunct/>
        <w:topLinePunct w:val="0"/>
        <w:autoSpaceDE w:val="0"/>
        <w:autoSpaceDN w:val="0"/>
        <w:bidi w:val="0"/>
        <w:adjustRightInd w:val="0"/>
        <w:snapToGrid w:val="0"/>
        <w:spacing w:line="396" w:lineRule="auto"/>
        <w:ind w:right="0"/>
        <w:jc w:val="center"/>
        <w:textAlignment w:val="baseline"/>
        <w:rPr>
          <w:rFonts w:hint="default" w:ascii="宋体" w:hAnsi="宋体" w:eastAsia="宋体" w:cs="宋体"/>
          <w:b/>
          <w:bCs/>
          <w:spacing w:val="24"/>
          <w:sz w:val="28"/>
          <w:szCs w:val="28"/>
          <w:lang w:val="en-US" w:eastAsia="zh-CN"/>
        </w:rPr>
      </w:pPr>
      <w:r>
        <w:rPr>
          <w:rFonts w:hint="eastAsia" w:ascii="宋体" w:hAnsi="宋体" w:eastAsia="宋体" w:cs="宋体"/>
          <w:b/>
          <w:bCs/>
          <w:spacing w:val="24"/>
          <w:sz w:val="28"/>
          <w:szCs w:val="28"/>
        </w:rPr>
        <w:t>项目</w:t>
      </w:r>
      <w:r>
        <w:rPr>
          <w:rFonts w:hint="eastAsia" w:ascii="宋体" w:hAnsi="宋体" w:eastAsia="宋体" w:cs="宋体"/>
          <w:b/>
          <w:bCs/>
          <w:spacing w:val="24"/>
          <w:sz w:val="28"/>
          <w:szCs w:val="28"/>
          <w:lang w:val="en-US" w:eastAsia="zh-CN"/>
        </w:rPr>
        <w:t>编号：SZKC2026000008</w:t>
      </w:r>
    </w:p>
    <w:p w14:paraId="4C2D465D">
      <w:pPr>
        <w:spacing w:line="290" w:lineRule="auto"/>
        <w:rPr>
          <w:rFonts w:ascii="Arial"/>
          <w:sz w:val="21"/>
        </w:rPr>
      </w:pPr>
    </w:p>
    <w:p w14:paraId="42DDBEE8">
      <w:pPr>
        <w:spacing w:line="291" w:lineRule="auto"/>
        <w:rPr>
          <w:rFonts w:ascii="Arial"/>
          <w:sz w:val="21"/>
        </w:rPr>
      </w:pPr>
    </w:p>
    <w:p w14:paraId="7574A9F7">
      <w:pPr>
        <w:spacing w:line="291" w:lineRule="auto"/>
        <w:rPr>
          <w:rFonts w:ascii="Arial"/>
          <w:sz w:val="21"/>
        </w:rPr>
      </w:pPr>
    </w:p>
    <w:p w14:paraId="407389E0">
      <w:pPr>
        <w:spacing w:before="78" w:line="219" w:lineRule="auto"/>
        <w:ind w:left="2404"/>
        <w:rPr>
          <w:rFonts w:ascii="宋体" w:hAnsi="宋体" w:eastAsia="宋体" w:cs="宋体"/>
          <w:spacing w:val="10"/>
          <w:sz w:val="24"/>
          <w:szCs w:val="24"/>
        </w:rPr>
      </w:pPr>
    </w:p>
    <w:p w14:paraId="72AC7D11">
      <w:pPr>
        <w:spacing w:before="78" w:line="219" w:lineRule="auto"/>
        <w:ind w:left="2404"/>
        <w:rPr>
          <w:rFonts w:ascii="宋体" w:hAnsi="宋体" w:eastAsia="宋体" w:cs="宋体"/>
          <w:spacing w:val="10"/>
          <w:sz w:val="24"/>
          <w:szCs w:val="24"/>
        </w:rPr>
      </w:pPr>
    </w:p>
    <w:p w14:paraId="181470FB">
      <w:pPr>
        <w:spacing w:before="78" w:line="219" w:lineRule="auto"/>
        <w:ind w:left="2404"/>
        <w:rPr>
          <w:rFonts w:ascii="宋体" w:hAnsi="宋体" w:eastAsia="宋体" w:cs="宋体"/>
          <w:spacing w:val="10"/>
          <w:sz w:val="24"/>
          <w:szCs w:val="24"/>
        </w:rPr>
      </w:pPr>
    </w:p>
    <w:p w14:paraId="727793E7">
      <w:pPr>
        <w:pStyle w:val="4"/>
        <w:rPr>
          <w:rFonts w:ascii="宋体" w:hAnsi="宋体" w:eastAsia="宋体" w:cs="宋体"/>
          <w:spacing w:val="10"/>
          <w:sz w:val="24"/>
          <w:szCs w:val="24"/>
        </w:rPr>
      </w:pPr>
    </w:p>
    <w:p w14:paraId="32327D56">
      <w:pPr>
        <w:pStyle w:val="4"/>
        <w:rPr>
          <w:rFonts w:ascii="宋体" w:hAnsi="宋体" w:eastAsia="宋体" w:cs="宋体"/>
          <w:spacing w:val="10"/>
          <w:sz w:val="24"/>
          <w:szCs w:val="24"/>
        </w:rPr>
      </w:pPr>
    </w:p>
    <w:p w14:paraId="1627022D">
      <w:pPr>
        <w:spacing w:before="78" w:line="219" w:lineRule="auto"/>
        <w:ind w:left="2404"/>
        <w:rPr>
          <w:rFonts w:ascii="宋体" w:hAnsi="宋体" w:eastAsia="宋体" w:cs="宋体"/>
          <w:spacing w:val="10"/>
          <w:sz w:val="24"/>
          <w:szCs w:val="24"/>
        </w:rPr>
      </w:pPr>
    </w:p>
    <w:p w14:paraId="6E60337C">
      <w:pPr>
        <w:spacing w:before="78" w:line="219" w:lineRule="auto"/>
        <w:ind w:left="2404"/>
        <w:rPr>
          <w:rFonts w:ascii="宋体" w:hAnsi="宋体" w:eastAsia="宋体" w:cs="宋体"/>
          <w:spacing w:val="10"/>
          <w:sz w:val="24"/>
          <w:szCs w:val="24"/>
        </w:rPr>
      </w:pPr>
    </w:p>
    <w:p w14:paraId="25F13939">
      <w:pPr>
        <w:jc w:val="cente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b/>
          <w:bCs/>
          <w:spacing w:val="10"/>
          <w:sz w:val="28"/>
          <w:szCs w:val="28"/>
        </w:rPr>
        <w:t>征集人：深圳公共资源交易中心</w:t>
      </w:r>
    </w:p>
    <w:p w14:paraId="54F4883E">
      <w:pPr>
        <w:pStyle w:val="11"/>
        <w:jc w:val="center"/>
        <w:outlineLvl w:val="1"/>
      </w:pPr>
      <w:r>
        <w:rPr>
          <w:rFonts w:ascii="仿宋_GB2312" w:hAnsi="仿宋_GB2312" w:eastAsia="仿宋_GB2312" w:cs="仿宋_GB2312"/>
          <w:b/>
          <w:sz w:val="36"/>
        </w:rPr>
        <w:t>特别警示条款</w:t>
      </w:r>
    </w:p>
    <w:p w14:paraId="7A8C70F5">
      <w:pPr>
        <w:pStyle w:val="11"/>
        <w:ind w:firstLine="480"/>
        <w:jc w:val="left"/>
      </w:pPr>
      <w:r>
        <w:rPr>
          <w:rFonts w:ascii="仿宋_GB2312" w:hAnsi="仿宋_GB2312" w:eastAsia="仿宋_GB2312" w:cs="仿宋_GB2312"/>
          <w:b/>
        </w:rPr>
        <w:t xml:space="preserve"> 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7"/>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6922"/>
      </w:tblGrid>
      <w:tr w14:paraId="734FC6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384" w:type="dxa"/>
          </w:tcPr>
          <w:p w14:paraId="239A6EDA">
            <w:pPr>
              <w:pStyle w:val="11"/>
              <w:jc w:val="center"/>
            </w:pPr>
            <w:r>
              <w:rPr>
                <w:rFonts w:ascii="仿宋_GB2312" w:hAnsi="仿宋_GB2312" w:eastAsia="仿宋_GB2312" w:cs="仿宋_GB2312"/>
              </w:rPr>
              <w:t>序号</w:t>
            </w:r>
          </w:p>
        </w:tc>
        <w:tc>
          <w:tcPr>
            <w:tcW w:w="6922" w:type="dxa"/>
          </w:tcPr>
          <w:p w14:paraId="640330CF">
            <w:pPr>
              <w:pStyle w:val="11"/>
              <w:jc w:val="center"/>
            </w:pPr>
            <w:r>
              <w:rPr>
                <w:rFonts w:ascii="仿宋_GB2312" w:hAnsi="仿宋_GB2312" w:eastAsia="仿宋_GB2312" w:cs="仿宋_GB2312"/>
                <w:sz w:val="21"/>
              </w:rPr>
              <w:t>供应商参与投标（响应）禁止情形</w:t>
            </w:r>
          </w:p>
        </w:tc>
      </w:tr>
      <w:tr w14:paraId="09FE5B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43FCBAC5">
            <w:pPr>
              <w:pStyle w:val="11"/>
              <w:jc w:val="center"/>
            </w:pPr>
            <w:r>
              <w:rPr>
                <w:rFonts w:ascii="仿宋_GB2312" w:hAnsi="仿宋_GB2312" w:eastAsia="仿宋_GB2312" w:cs="仿宋_GB2312"/>
              </w:rPr>
              <w:t>1</w:t>
            </w:r>
          </w:p>
        </w:tc>
        <w:tc>
          <w:tcPr>
            <w:tcW w:w="6922" w:type="dxa"/>
          </w:tcPr>
          <w:p w14:paraId="126DE43C">
            <w:pPr>
              <w:pStyle w:val="11"/>
              <w:jc w:val="left"/>
            </w:pPr>
            <w:r>
              <w:rPr>
                <w:rFonts w:ascii="仿宋_GB2312" w:hAnsi="仿宋_GB2312" w:eastAsia="仿宋_GB2312" w:cs="仿宋_GB2312"/>
              </w:rPr>
              <w:t>与其他投标（响应）供应商的法定代表人、主要经营负责人、投标（响应）授权代表人、项目负责人、主要技术人员为同一人、属同一单位或者在同一单位缴纳社会保险。</w:t>
            </w:r>
          </w:p>
        </w:tc>
      </w:tr>
      <w:tr w14:paraId="2A4FC3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6B9BCF6B">
            <w:pPr>
              <w:pStyle w:val="11"/>
              <w:jc w:val="center"/>
            </w:pPr>
            <w:r>
              <w:rPr>
                <w:rFonts w:ascii="仿宋_GB2312" w:hAnsi="仿宋_GB2312" w:eastAsia="仿宋_GB2312" w:cs="仿宋_GB2312"/>
              </w:rPr>
              <w:t>2</w:t>
            </w:r>
          </w:p>
        </w:tc>
        <w:tc>
          <w:tcPr>
            <w:tcW w:w="6922" w:type="dxa"/>
          </w:tcPr>
          <w:p w14:paraId="2C2D8E9F">
            <w:pPr>
              <w:pStyle w:val="11"/>
              <w:jc w:val="left"/>
            </w:pPr>
            <w:r>
              <w:rPr>
                <w:rFonts w:ascii="仿宋_GB2312" w:hAnsi="仿宋_GB2312" w:eastAsia="仿宋_GB2312" w:cs="仿宋_GB2312"/>
              </w:rPr>
              <w:t>参与本项目政府采购活动时，与其他投标（响应）供应商存在单位负责人为同一人或直接控股、管理关系。</w:t>
            </w:r>
          </w:p>
        </w:tc>
      </w:tr>
      <w:tr w14:paraId="65B77F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09877934">
            <w:pPr>
              <w:pStyle w:val="11"/>
              <w:jc w:val="center"/>
            </w:pPr>
            <w:r>
              <w:rPr>
                <w:rFonts w:ascii="仿宋_GB2312" w:hAnsi="仿宋_GB2312" w:eastAsia="仿宋_GB2312" w:cs="仿宋_GB2312"/>
              </w:rPr>
              <w:t>3</w:t>
            </w:r>
          </w:p>
        </w:tc>
        <w:tc>
          <w:tcPr>
            <w:tcW w:w="6922" w:type="dxa"/>
          </w:tcPr>
          <w:p w14:paraId="27CCA928">
            <w:pPr>
              <w:pStyle w:val="11"/>
              <w:jc w:val="left"/>
            </w:pPr>
            <w:r>
              <w:rPr>
                <w:rFonts w:ascii="仿宋_GB2312" w:hAnsi="仿宋_GB2312" w:eastAsia="仿宋_GB2312" w:cs="仿宋_GB2312"/>
              </w:rPr>
              <w:t>与其他投标（响应）供应商的投标（响应）文件或部分投标（响应）文件相互混装或存在非正常一致。</w:t>
            </w:r>
          </w:p>
        </w:tc>
      </w:tr>
      <w:tr w14:paraId="429CDD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614B6F6E">
            <w:pPr>
              <w:pStyle w:val="11"/>
              <w:jc w:val="center"/>
            </w:pPr>
            <w:r>
              <w:rPr>
                <w:rFonts w:ascii="仿宋_GB2312" w:hAnsi="仿宋_GB2312" w:eastAsia="仿宋_GB2312" w:cs="仿宋_GB2312"/>
              </w:rPr>
              <w:t>4</w:t>
            </w:r>
          </w:p>
        </w:tc>
        <w:tc>
          <w:tcPr>
            <w:tcW w:w="6922" w:type="dxa"/>
          </w:tcPr>
          <w:p w14:paraId="6A24F904">
            <w:pPr>
              <w:pStyle w:val="11"/>
              <w:jc w:val="left"/>
            </w:pPr>
            <w:r>
              <w:rPr>
                <w:rFonts w:ascii="仿宋_GB2312" w:hAnsi="仿宋_GB2312" w:eastAsia="仿宋_GB2312" w:cs="仿宋_GB2312"/>
              </w:rPr>
              <w:t>与其他投标（响应）供应商的投标（响应）文件由同一单位或者同一人编制，或者使用同一设备编制（“文件制作机器码”“文件创建标识码”一致）。</w:t>
            </w:r>
          </w:p>
        </w:tc>
      </w:tr>
      <w:tr w14:paraId="2B97FF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6BF5ED63">
            <w:pPr>
              <w:pStyle w:val="11"/>
              <w:jc w:val="center"/>
            </w:pPr>
            <w:r>
              <w:rPr>
                <w:rFonts w:ascii="仿宋_GB2312" w:hAnsi="仿宋_GB2312" w:eastAsia="仿宋_GB2312" w:cs="仿宋_GB2312"/>
              </w:rPr>
              <w:t>5</w:t>
            </w:r>
          </w:p>
        </w:tc>
        <w:tc>
          <w:tcPr>
            <w:tcW w:w="6922" w:type="dxa"/>
          </w:tcPr>
          <w:p w14:paraId="3598AFCB">
            <w:pPr>
              <w:pStyle w:val="11"/>
              <w:jc w:val="left"/>
            </w:pPr>
            <w:r>
              <w:rPr>
                <w:rFonts w:ascii="仿宋_GB2312" w:hAnsi="仿宋_GB2312" w:eastAsia="仿宋_GB2312" w:cs="仿宋_GB2312"/>
              </w:rPr>
              <w:t>提供未经出具机构核实的虚假的检验检测报告、业绩材料、社保缴纳证明、学历学位证书、职称认证证书等材料。</w:t>
            </w:r>
          </w:p>
        </w:tc>
      </w:tr>
      <w:tr w14:paraId="5304FC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6C531B7F">
            <w:pPr>
              <w:pStyle w:val="11"/>
              <w:jc w:val="center"/>
            </w:pPr>
            <w:r>
              <w:rPr>
                <w:rFonts w:ascii="仿宋_GB2312" w:hAnsi="仿宋_GB2312" w:eastAsia="仿宋_GB2312" w:cs="仿宋_GB2312"/>
              </w:rPr>
              <w:t>6</w:t>
            </w:r>
          </w:p>
        </w:tc>
        <w:tc>
          <w:tcPr>
            <w:tcW w:w="6922" w:type="dxa"/>
          </w:tcPr>
          <w:p w14:paraId="2F712E5C">
            <w:pPr>
              <w:pStyle w:val="11"/>
              <w:jc w:val="left"/>
            </w:pPr>
            <w:r>
              <w:rPr>
                <w:rFonts w:ascii="仿宋_GB2312" w:hAnsi="仿宋_GB2312" w:eastAsia="仿宋_GB2312" w:cs="仿宋_GB2312"/>
              </w:rPr>
              <w:t>擅自将投标（响应）密钥或电子营业执照出借他人使用或未妥善保管。</w:t>
            </w:r>
          </w:p>
        </w:tc>
      </w:tr>
    </w:tbl>
    <w:p w14:paraId="74562313">
      <w:pPr>
        <w:pStyle w:val="11"/>
        <w:ind w:firstLine="480"/>
        <w:jc w:val="left"/>
      </w:pPr>
      <w:r>
        <w:rPr>
          <w:rFonts w:ascii="仿宋_GB2312" w:hAnsi="仿宋_GB2312" w:eastAsia="仿宋_GB2312" w:cs="仿宋_GB2312"/>
        </w:rPr>
        <w:t xml:space="preserve"> 一、《深圳经济特区政府采购条例》第五十七条 供应商在政府采购中，有下列行为之一的，一至三年内禁止其参与本市政府采购，并由主管部门记入供应商诚信档案，处采购金额千分之十以上千分之二十以下的罚款；情节严重的，取消其参与本市政府采购资格，处采购金额千分之二十以上千分之三十以下的罚款，并由市场监管部门依法吊销其营业执照；给他人造成损失的，依法承担赔偿责任；构成犯罪的，依法追究刑事责任：</w:t>
      </w:r>
    </w:p>
    <w:p w14:paraId="620E9E7A">
      <w:pPr>
        <w:pStyle w:val="11"/>
        <w:ind w:firstLine="480"/>
        <w:jc w:val="left"/>
      </w:pPr>
      <w:r>
        <w:rPr>
          <w:rFonts w:ascii="仿宋_GB2312" w:hAnsi="仿宋_GB2312" w:eastAsia="仿宋_GB2312" w:cs="仿宋_GB2312"/>
        </w:rPr>
        <w:t xml:space="preserve"> （一）在采购活动中应当回避而未回避的；</w:t>
      </w:r>
    </w:p>
    <w:p w14:paraId="3F7CA496">
      <w:pPr>
        <w:pStyle w:val="11"/>
        <w:ind w:firstLine="480"/>
        <w:jc w:val="left"/>
      </w:pPr>
      <w:r>
        <w:rPr>
          <w:rFonts w:ascii="仿宋_GB2312" w:hAnsi="仿宋_GB2312" w:eastAsia="仿宋_GB2312" w:cs="仿宋_GB2312"/>
        </w:rPr>
        <w:t xml:space="preserve"> （二）未按本条例规定签订、履行采购合同，造成严重后果的；</w:t>
      </w:r>
    </w:p>
    <w:p w14:paraId="4BE80D00">
      <w:pPr>
        <w:pStyle w:val="11"/>
        <w:ind w:firstLine="480"/>
        <w:jc w:val="left"/>
      </w:pPr>
      <w:r>
        <w:rPr>
          <w:rFonts w:ascii="仿宋_GB2312" w:hAnsi="仿宋_GB2312" w:eastAsia="仿宋_GB2312" w:cs="仿宋_GB2312"/>
        </w:rPr>
        <w:t xml:space="preserve"> （三）隐瞒真实情况，提供虚假资料的；</w:t>
      </w:r>
    </w:p>
    <w:p w14:paraId="178134FC">
      <w:pPr>
        <w:pStyle w:val="11"/>
        <w:ind w:firstLine="480"/>
        <w:jc w:val="left"/>
      </w:pPr>
      <w:r>
        <w:rPr>
          <w:rFonts w:ascii="仿宋_GB2312" w:hAnsi="仿宋_GB2312" w:eastAsia="仿宋_GB2312" w:cs="仿宋_GB2312"/>
        </w:rPr>
        <w:t xml:space="preserve"> （四）以非法手段排斥其他供应商参与竞争的；</w:t>
      </w:r>
    </w:p>
    <w:p w14:paraId="44E8D8BE">
      <w:pPr>
        <w:pStyle w:val="11"/>
        <w:ind w:firstLine="480"/>
        <w:jc w:val="left"/>
      </w:pPr>
      <w:r>
        <w:rPr>
          <w:rFonts w:ascii="仿宋_GB2312" w:hAnsi="仿宋_GB2312" w:eastAsia="仿宋_GB2312" w:cs="仿宋_GB2312"/>
        </w:rPr>
        <w:t xml:space="preserve"> （五）与其他采购参加人串通投标的；</w:t>
      </w:r>
    </w:p>
    <w:p w14:paraId="5959DF00">
      <w:pPr>
        <w:pStyle w:val="11"/>
        <w:ind w:firstLine="480"/>
        <w:jc w:val="left"/>
      </w:pPr>
      <w:r>
        <w:rPr>
          <w:rFonts w:ascii="仿宋_GB2312" w:hAnsi="仿宋_GB2312" w:eastAsia="仿宋_GB2312" w:cs="仿宋_GB2312"/>
        </w:rPr>
        <w:t xml:space="preserve"> （六）恶意投诉的；</w:t>
      </w:r>
    </w:p>
    <w:p w14:paraId="7483AF70">
      <w:pPr>
        <w:pStyle w:val="11"/>
        <w:ind w:firstLine="480"/>
        <w:jc w:val="left"/>
      </w:pPr>
      <w:r>
        <w:rPr>
          <w:rFonts w:ascii="仿宋_GB2312" w:hAnsi="仿宋_GB2312" w:eastAsia="仿宋_GB2312" w:cs="仿宋_GB2312"/>
        </w:rPr>
        <w:t xml:space="preserve"> （七）向采购项目相关人行贿或者提供其他不当利益的；</w:t>
      </w:r>
    </w:p>
    <w:p w14:paraId="57BA8FD2">
      <w:pPr>
        <w:pStyle w:val="11"/>
        <w:ind w:firstLine="480"/>
        <w:jc w:val="left"/>
      </w:pPr>
      <w:r>
        <w:rPr>
          <w:rFonts w:ascii="仿宋_GB2312" w:hAnsi="仿宋_GB2312" w:eastAsia="仿宋_GB2312" w:cs="仿宋_GB2312"/>
        </w:rPr>
        <w:t xml:space="preserve"> （八）阻碍、抗拒主管部门监督检查的；</w:t>
      </w:r>
    </w:p>
    <w:p w14:paraId="20C79BC3">
      <w:pPr>
        <w:pStyle w:val="11"/>
        <w:ind w:firstLine="480"/>
        <w:jc w:val="left"/>
      </w:pPr>
      <w:r>
        <w:rPr>
          <w:rFonts w:ascii="仿宋_GB2312" w:hAnsi="仿宋_GB2312" w:eastAsia="仿宋_GB2312" w:cs="仿宋_GB2312"/>
        </w:rPr>
        <w:t xml:space="preserve"> （九）其他违反本条例规定的行为。</w:t>
      </w:r>
    </w:p>
    <w:p w14:paraId="6979DD2C">
      <w:pPr>
        <w:pStyle w:val="11"/>
        <w:ind w:firstLine="480"/>
        <w:jc w:val="left"/>
      </w:pPr>
      <w:r>
        <w:rPr>
          <w:rFonts w:ascii="仿宋_GB2312" w:hAnsi="仿宋_GB2312" w:eastAsia="仿宋_GB2312" w:cs="仿宋_GB2312"/>
        </w:rPr>
        <w:t xml:space="preserve"> 二、《深圳经济特区政府采购条例实施细则》第七十五条供应商有下列情形之一的，属于采购条例所称的串通投标行为，按照采购条例第五十七条有关规定处理：（一）投标供应商之间相互约定给予未中标的供应商利益补偿。（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四）不同投标供应商的投标文件或部分投标文件相互混装。（五）不同投标供应商的投标文件内容存在非正常一致。（六）由同一单位工作人员为两家以上（含两家）供应商进行同一项投标活动的。（七）主管部门依照法律、法规认定的其他情形。</w:t>
      </w:r>
    </w:p>
    <w:p w14:paraId="7E7D75A4">
      <w:pPr>
        <w:pStyle w:val="11"/>
        <w:ind w:firstLine="480"/>
        <w:jc w:val="left"/>
        <w:rPr>
          <w:rFonts w:ascii="仿宋_GB2312" w:hAnsi="仿宋_GB2312" w:eastAsia="仿宋_GB2312" w:cs="仿宋_GB2312"/>
        </w:rPr>
      </w:pPr>
      <w:r>
        <w:rPr>
          <w:rFonts w:ascii="仿宋_GB2312" w:hAnsi="仿宋_GB2312" w:eastAsia="仿宋_GB2312" w:cs="仿宋_GB2312"/>
        </w:rPr>
        <w:t>三、《深圳经济特区政府采购条例实施细则》第七十七条供应商有下列情形之一的，属于隐瞒真实情况，提供虚假资料，按照采购条例第五十七条的有关规定处理：</w:t>
      </w:r>
      <w:r>
        <w:rPr>
          <w:rFonts w:ascii="仿宋_GB2312" w:hAnsi="仿宋_GB2312" w:eastAsia="仿宋_GB2312" w:cs="仿宋_GB2312"/>
          <w:b/>
          <w:bCs/>
          <w:color w:val="FF0000"/>
          <w:highlight w:val="yellow"/>
        </w:rPr>
        <w:t>（一）通过转让或者租借等方式从其他单位获取资格或者资质证书投标的。（二）由其他单位或者其他单位负责人在投标供应商编制的投标文件上加盖印章或者签字的。（三）项目负责人或者主要技术人员不是本单位人员的。（四）投标保证金不是从投标供应商基本账户转出的。（五）其他隐瞒真实情况、提供虚假资料的行为。</w:t>
      </w:r>
    </w:p>
    <w:p w14:paraId="29B2D900">
      <w:pPr>
        <w:pStyle w:val="11"/>
        <w:ind w:firstLine="480"/>
        <w:jc w:val="left"/>
      </w:pPr>
      <w:r>
        <w:rPr>
          <w:rFonts w:ascii="仿宋_GB2312" w:hAnsi="仿宋_GB2312" w:eastAsia="仿宋_GB2312" w:cs="仿宋_GB2312"/>
        </w:rPr>
        <w:t xml:space="preserve"> 投标供应商不能提供项目负责人或者主要技术人员的劳动合同、社会保险等劳动关系证明材料的，视为存在前款第（三）项规定的情形。</w:t>
      </w:r>
    </w:p>
    <w:p w14:paraId="782AC586">
      <w:pPr>
        <w:pStyle w:val="11"/>
        <w:ind w:firstLine="480"/>
        <w:jc w:val="left"/>
      </w:pPr>
      <w:r>
        <w:rPr>
          <w:rFonts w:ascii="仿宋_GB2312" w:hAnsi="仿宋_GB2312" w:eastAsia="仿宋_GB2312" w:cs="仿宋_GB2312"/>
        </w:rPr>
        <w:t xml:space="preserve"> 四、供应商在使用深圳政府采购业务框架协议采购系统的投标响应客户端编制投标（响应）文件时，投标响应客户端将自动提取投标（响应）文件制作电脑的网卡MAC地址、硬盘序列号、CPU序列号和工具标识号，经加密生成文件制作机器码并在投标（响应）文件中记录。文件制作机器码一致表明不同供应商使用了同一设备编制投标（响应）文件，IP地址一致表明上传投标（响应）文件时使用了相同的网络。</w:t>
      </w:r>
    </w:p>
    <w:p w14:paraId="18D9C6B7">
      <w:pPr>
        <w:pStyle w:val="11"/>
        <w:ind w:firstLine="480"/>
        <w:jc w:val="left"/>
      </w:pPr>
      <w:r>
        <w:rPr>
          <w:rFonts w:ascii="仿宋_GB2312" w:hAnsi="仿宋_GB2312" w:eastAsia="仿宋_GB2312" w:cs="仿宋_GB2312"/>
        </w:rPr>
        <w:t xml:space="preserve"> 为避免出现不同供应商投标（响应）文件的文件制作机器码、IP地址一致的异常情况，建议各供应商编制、上传投标（响应）文件时不要使用公共电脑设备或公共网络。</w:t>
      </w:r>
    </w:p>
    <w:p w14:paraId="282CAFF1">
      <w:pPr>
        <w:pStyle w:val="11"/>
        <w:ind w:firstLine="480"/>
        <w:jc w:val="left"/>
      </w:pPr>
      <w:r>
        <w:rPr>
          <w:rFonts w:ascii="仿宋_GB2312" w:hAnsi="仿宋_GB2312" w:eastAsia="仿宋_GB2312" w:cs="仿宋_GB2312"/>
        </w:rPr>
        <w:t xml:space="preserve"> 根据《深圳经济特区政府采购条例实施细则》第七十五条规定，不同投标供应商的投标文件由同一单位或者同一人编制，或者由同一人分阶段参与编制的，或者由同一单位工作人员为两家以上（含两家）供应商进行同一项投标活动的，属于串通投标行为。一经查实，供应商将面临罚款、一定年限内禁止参与政府采购活动、取消参与本市政府采购资格、依法吊销其营业执照等行政处罚，构成犯罪的，依法追究刑事责任，请各供应商独立编制、上传投标文件，妥善保管和使用电子秘钥。</w:t>
      </w:r>
    </w:p>
    <w:p w14:paraId="6A337314">
      <w:pPr>
        <w:pStyle w:val="11"/>
        <w:ind w:firstLine="480"/>
        <w:jc w:val="left"/>
      </w:pPr>
      <w:r>
        <w:rPr>
          <w:rFonts w:ascii="仿宋_GB2312" w:hAnsi="仿宋_GB2312" w:eastAsia="仿宋_GB2312" w:cs="仿宋_GB2312"/>
          <w:b/>
        </w:rPr>
        <w:t xml:space="preserve"> 五、投标（响应）供应商严格核实所提交检测报告的真实性，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响应）文件中提交伪造、变造的虚假检测报告而被相关部门予以行政处罚。</w:t>
      </w:r>
    </w:p>
    <w:p w14:paraId="781A3C2E">
      <w:pPr>
        <w:pStyle w:val="11"/>
        <w:ind w:firstLine="480"/>
        <w:jc w:val="left"/>
        <w:rPr>
          <w:rFonts w:ascii="仿宋_GB2312" w:hAnsi="仿宋_GB2312" w:eastAsia="仿宋_GB2312" w:cs="仿宋_GB2312"/>
          <w:b/>
        </w:rPr>
      </w:pPr>
      <w:r>
        <w:rPr>
          <w:rFonts w:ascii="仿宋_GB2312" w:hAnsi="仿宋_GB2312" w:eastAsia="仿宋_GB2312" w:cs="仿宋_GB2312"/>
          <w:b/>
        </w:rPr>
        <w:t xml:space="preserve"> 六、请投标（响应）供应商阅读《政府采购违法行为风险知悉确认书》（内容详见“项目级格式文件”中节点“供应商认为需要加以说明的其他内容（格式自定）”），并经各投标（响应）供应商负责人签字并加盖单位公章后，扫描上传至投标（响应）客户端一并提交。</w:t>
      </w:r>
    </w:p>
    <w:p w14:paraId="060C99C7">
      <w:pPr>
        <w:pStyle w:val="11"/>
        <w:ind w:firstLine="480"/>
        <w:jc w:val="left"/>
        <w:rPr>
          <w:rFonts w:hint="eastAsia" w:ascii="仿宋_GB2312" w:hAnsi="仿宋_GB2312" w:eastAsia="仿宋_GB2312" w:cs="仿宋_GB2312"/>
          <w:b/>
          <w:color w:val="auto"/>
          <w:kern w:val="2"/>
          <w:sz w:val="20"/>
          <w:szCs w:val="20"/>
          <w:lang w:val="en-US" w:eastAsia="zh-CN" w:bidi="ar-SA"/>
        </w:rPr>
        <w:sectPr>
          <w:pgSz w:w="11906" w:h="16838"/>
          <w:pgMar w:top="1440" w:right="1800" w:bottom="1440" w:left="1800" w:header="851" w:footer="992" w:gutter="0"/>
          <w:cols w:space="425" w:num="1"/>
          <w:docGrid w:type="lines" w:linePitch="312" w:charSpace="0"/>
        </w:sectPr>
      </w:pPr>
      <w:r>
        <w:rPr>
          <w:rFonts w:ascii="仿宋_GB2312" w:hAnsi="仿宋_GB2312" w:eastAsia="仿宋_GB2312" w:cs="仿宋_GB2312"/>
          <w:b/>
        </w:rPr>
        <w:t>注：“特别警示条款”和《政府采购违法行为风险知悉确认书》用于对供应商违法行为的提醒，不作为供应商资格性审查及符合性审查条件</w:t>
      </w:r>
      <w:r>
        <w:rPr>
          <w:rFonts w:hint="eastAsia" w:ascii="仿宋_GB2312" w:hAnsi="仿宋_GB2312" w:eastAsia="仿宋_GB2312" w:cs="仿宋_GB2312"/>
          <w:b/>
          <w:color w:val="auto"/>
          <w:kern w:val="2"/>
          <w:sz w:val="20"/>
          <w:szCs w:val="20"/>
          <w:lang w:val="en-US" w:eastAsia="zh-CN" w:bidi="ar-SA"/>
        </w:rPr>
        <w:t>。</w:t>
      </w:r>
    </w:p>
    <w:p w14:paraId="0597830D">
      <w:pPr>
        <w:pStyle w:val="11"/>
        <w:jc w:val="center"/>
        <w:outlineLvl w:val="1"/>
      </w:pPr>
      <w:r>
        <w:rPr>
          <w:rFonts w:ascii="仿宋_GB2312" w:hAnsi="仿宋_GB2312" w:eastAsia="仿宋_GB2312" w:cs="仿宋_GB2312"/>
          <w:b/>
          <w:sz w:val="36"/>
        </w:rPr>
        <w:t>目录</w:t>
      </w:r>
    </w:p>
    <w:p w14:paraId="350D9022">
      <w:pPr>
        <w:pStyle w:val="11"/>
        <w:jc w:val="left"/>
        <w:outlineLvl w:val="2"/>
      </w:pPr>
      <w:r>
        <w:rPr>
          <w:rFonts w:ascii="仿宋_GB2312" w:hAnsi="仿宋_GB2312" w:eastAsia="仿宋_GB2312" w:cs="仿宋_GB2312"/>
          <w:b/>
          <w:sz w:val="28"/>
        </w:rPr>
        <w:t>第一章 参加征集活动的邀请</w:t>
      </w:r>
    </w:p>
    <w:p w14:paraId="15BADE1D">
      <w:pPr>
        <w:pStyle w:val="11"/>
        <w:ind w:firstLine="480"/>
        <w:jc w:val="both"/>
      </w:pPr>
      <w:r>
        <w:rPr>
          <w:rFonts w:ascii="仿宋_GB2312" w:hAnsi="仿宋_GB2312" w:eastAsia="仿宋_GB2312" w:cs="仿宋_GB2312"/>
        </w:rPr>
        <w:t>一、 项目基本情况</w:t>
      </w:r>
    </w:p>
    <w:p w14:paraId="4E7F1273">
      <w:pPr>
        <w:pStyle w:val="11"/>
        <w:ind w:firstLine="480"/>
        <w:jc w:val="both"/>
      </w:pPr>
      <w:r>
        <w:rPr>
          <w:rFonts w:ascii="仿宋_GB2312" w:hAnsi="仿宋_GB2312" w:eastAsia="仿宋_GB2312" w:cs="仿宋_GB2312"/>
        </w:rPr>
        <w:t>二、 供应商资格要求</w:t>
      </w:r>
    </w:p>
    <w:p w14:paraId="058143A9">
      <w:pPr>
        <w:pStyle w:val="11"/>
        <w:ind w:firstLine="480"/>
        <w:jc w:val="both"/>
      </w:pPr>
      <w:r>
        <w:rPr>
          <w:rFonts w:ascii="仿宋_GB2312" w:hAnsi="仿宋_GB2312" w:eastAsia="仿宋_GB2312" w:cs="仿宋_GB2312"/>
        </w:rPr>
        <w:t>三、 征集文件获取时间、方式及地址</w:t>
      </w:r>
    </w:p>
    <w:p w14:paraId="66BD8516">
      <w:pPr>
        <w:pStyle w:val="11"/>
        <w:ind w:firstLine="480"/>
        <w:jc w:val="both"/>
      </w:pPr>
      <w:r>
        <w:rPr>
          <w:rFonts w:ascii="仿宋_GB2312" w:hAnsi="仿宋_GB2312" w:eastAsia="仿宋_GB2312" w:cs="仿宋_GB2312"/>
        </w:rPr>
        <w:t xml:space="preserve">四、 </w:t>
      </w:r>
      <w:r>
        <w:rPr>
          <w:rFonts w:hint="eastAsia" w:ascii="仿宋_GB2312" w:hAnsi="仿宋_GB2312" w:eastAsia="仿宋_GB2312" w:cs="仿宋_GB2312"/>
          <w:lang w:eastAsia="zh-CN"/>
        </w:rPr>
        <w:t>投标（响应）</w:t>
      </w:r>
      <w:r>
        <w:rPr>
          <w:rFonts w:ascii="仿宋_GB2312" w:hAnsi="仿宋_GB2312" w:eastAsia="仿宋_GB2312" w:cs="仿宋_GB2312"/>
        </w:rPr>
        <w:t>文件提交截止时间及开启时间、地点、方式</w:t>
      </w:r>
    </w:p>
    <w:p w14:paraId="16D735DC">
      <w:pPr>
        <w:pStyle w:val="11"/>
        <w:ind w:firstLine="480"/>
        <w:jc w:val="both"/>
      </w:pPr>
      <w:r>
        <w:rPr>
          <w:rFonts w:ascii="仿宋_GB2312" w:hAnsi="仿宋_GB2312" w:eastAsia="仿宋_GB2312" w:cs="仿宋_GB2312"/>
        </w:rPr>
        <w:t>五、 联系方式</w:t>
      </w:r>
    </w:p>
    <w:p w14:paraId="3D66AB1A">
      <w:pPr>
        <w:pStyle w:val="11"/>
        <w:jc w:val="left"/>
        <w:outlineLvl w:val="2"/>
      </w:pPr>
      <w:r>
        <w:rPr>
          <w:rFonts w:ascii="仿宋_GB2312" w:hAnsi="仿宋_GB2312" w:eastAsia="仿宋_GB2312" w:cs="仿宋_GB2312"/>
          <w:b/>
          <w:sz w:val="28"/>
        </w:rPr>
        <w:t>第二章 征集项目主要内容</w:t>
      </w:r>
    </w:p>
    <w:p w14:paraId="73236559">
      <w:pPr>
        <w:pStyle w:val="11"/>
        <w:ind w:firstLine="480"/>
        <w:jc w:val="both"/>
      </w:pPr>
      <w:r>
        <w:rPr>
          <w:rFonts w:ascii="仿宋_GB2312" w:hAnsi="仿宋_GB2312" w:eastAsia="仿宋_GB2312" w:cs="仿宋_GB2312"/>
        </w:rPr>
        <w:t>一、 供应商须知前附表</w:t>
      </w:r>
    </w:p>
    <w:p w14:paraId="4B9D84F6">
      <w:pPr>
        <w:pStyle w:val="11"/>
        <w:ind w:firstLine="480"/>
        <w:jc w:val="both"/>
      </w:pPr>
      <w:r>
        <w:rPr>
          <w:rFonts w:hint="eastAsia" w:ascii="仿宋_GB2312" w:hAnsi="仿宋_GB2312" w:eastAsia="仿宋_GB2312" w:cs="仿宋_GB2312"/>
          <w:lang w:val="en-US" w:eastAsia="zh-CN"/>
        </w:rPr>
        <w:t>二</w:t>
      </w:r>
      <w:r>
        <w:rPr>
          <w:rFonts w:ascii="仿宋_GB2312" w:hAnsi="仿宋_GB2312" w:eastAsia="仿宋_GB2312" w:cs="仿宋_GB2312"/>
        </w:rPr>
        <w:t>、 解密、资格审查、评审和确定入围供应商</w:t>
      </w:r>
    </w:p>
    <w:p w14:paraId="31ECEE54">
      <w:pPr>
        <w:pStyle w:val="11"/>
        <w:ind w:firstLine="480"/>
        <w:jc w:val="both"/>
      </w:pPr>
      <w:r>
        <w:rPr>
          <w:rFonts w:hint="eastAsia" w:ascii="仿宋_GB2312" w:hAnsi="仿宋_GB2312" w:eastAsia="仿宋_GB2312" w:cs="仿宋_GB2312"/>
          <w:lang w:val="en-US" w:eastAsia="zh-CN"/>
        </w:rPr>
        <w:t>三</w:t>
      </w:r>
      <w:r>
        <w:rPr>
          <w:rFonts w:ascii="仿宋_GB2312" w:hAnsi="仿宋_GB2312" w:eastAsia="仿宋_GB2312" w:cs="仿宋_GB2312"/>
        </w:rPr>
        <w:t>、 用户反馈和评价机制</w:t>
      </w:r>
    </w:p>
    <w:p w14:paraId="06CE0D56">
      <w:pPr>
        <w:pStyle w:val="11"/>
        <w:ind w:firstLine="480"/>
        <w:jc w:val="both"/>
      </w:pPr>
      <w:r>
        <w:rPr>
          <w:rFonts w:hint="eastAsia" w:ascii="仿宋_GB2312" w:hAnsi="仿宋_GB2312" w:eastAsia="仿宋_GB2312" w:cs="仿宋_GB2312"/>
          <w:lang w:val="en-US" w:eastAsia="zh-CN"/>
        </w:rPr>
        <w:t>四</w:t>
      </w:r>
      <w:r>
        <w:rPr>
          <w:rFonts w:ascii="仿宋_GB2312" w:hAnsi="仿宋_GB2312" w:eastAsia="仿宋_GB2312" w:cs="仿宋_GB2312"/>
        </w:rPr>
        <w:t>、 入围供应商的清退和补充规则</w:t>
      </w:r>
    </w:p>
    <w:p w14:paraId="0A5E1BD3">
      <w:pPr>
        <w:pStyle w:val="11"/>
        <w:ind w:firstLine="480"/>
        <w:jc w:val="both"/>
        <w:rPr>
          <w:rFonts w:ascii="仿宋_GB2312" w:hAnsi="仿宋_GB2312" w:eastAsia="仿宋_GB2312" w:cs="仿宋_GB2312"/>
        </w:rPr>
      </w:pPr>
      <w:r>
        <w:rPr>
          <w:rFonts w:hint="eastAsia" w:ascii="仿宋_GB2312" w:hAnsi="仿宋_GB2312" w:eastAsia="仿宋_GB2312" w:cs="仿宋_GB2312"/>
          <w:lang w:val="en-US" w:eastAsia="zh-CN"/>
        </w:rPr>
        <w:t>五</w:t>
      </w:r>
      <w:r>
        <w:rPr>
          <w:rFonts w:ascii="仿宋_GB2312" w:hAnsi="仿宋_GB2312" w:eastAsia="仿宋_GB2312" w:cs="仿宋_GB2312"/>
        </w:rPr>
        <w:t>、 采购人是否可以授予非入围供应商参与合同规则</w:t>
      </w:r>
    </w:p>
    <w:p w14:paraId="12F5A31B">
      <w:pPr>
        <w:pStyle w:val="11"/>
        <w:ind w:firstLine="480"/>
        <w:jc w:val="both"/>
        <w:rPr>
          <w:rFonts w:ascii="仿宋_GB2312" w:hAnsi="仿宋_GB2312" w:eastAsia="仿宋_GB2312" w:cs="仿宋_GB2312"/>
        </w:rPr>
      </w:pPr>
      <w:r>
        <w:rPr>
          <w:rFonts w:hint="eastAsia" w:ascii="仿宋_GB2312" w:hAnsi="仿宋_GB2312" w:eastAsia="仿宋_GB2312" w:cs="仿宋_GB2312"/>
          <w:lang w:val="en-US" w:eastAsia="zh-CN"/>
        </w:rPr>
        <w:t>六</w:t>
      </w:r>
      <w:r>
        <w:rPr>
          <w:rFonts w:ascii="仿宋_GB2312" w:hAnsi="仿宋_GB2312" w:eastAsia="仿宋_GB2312" w:cs="仿宋_GB2312"/>
        </w:rPr>
        <w:t>、</w:t>
      </w:r>
      <w:r>
        <w:rPr>
          <w:rFonts w:hint="eastAsia" w:ascii="仿宋_GB2312" w:hAnsi="仿宋_GB2312" w:eastAsia="仿宋_GB2312" w:cs="仿宋_GB2312"/>
          <w:lang w:val="en-US" w:eastAsia="zh-CN"/>
        </w:rPr>
        <w:t xml:space="preserve"> </w:t>
      </w:r>
      <w:r>
        <w:rPr>
          <w:rFonts w:ascii="仿宋_GB2312" w:hAnsi="仿宋_GB2312" w:eastAsia="仿宋_GB2312" w:cs="仿宋_GB2312"/>
        </w:rPr>
        <w:t>供应商信用信息</w:t>
      </w:r>
    </w:p>
    <w:p w14:paraId="1D6641FF">
      <w:pPr>
        <w:pStyle w:val="11"/>
        <w:ind w:firstLine="480"/>
        <w:jc w:val="both"/>
        <w:rPr>
          <w:rFonts w:ascii="仿宋_GB2312" w:hAnsi="仿宋_GB2312" w:eastAsia="仿宋_GB2312" w:cs="仿宋_GB2312"/>
        </w:rPr>
      </w:pPr>
      <w:r>
        <w:rPr>
          <w:rFonts w:hint="eastAsia" w:ascii="仿宋_GB2312" w:hAnsi="仿宋_GB2312" w:eastAsia="仿宋_GB2312" w:cs="仿宋_GB2312"/>
          <w:lang w:val="en-US" w:eastAsia="zh-CN"/>
        </w:rPr>
        <w:t>七、 澄清、质疑和投诉</w:t>
      </w:r>
    </w:p>
    <w:p w14:paraId="5606D5BF">
      <w:pPr>
        <w:pStyle w:val="11"/>
        <w:ind w:firstLine="480"/>
        <w:jc w:val="both"/>
      </w:pPr>
      <w:r>
        <w:rPr>
          <w:rFonts w:hint="eastAsia" w:ascii="仿宋_GB2312" w:hAnsi="仿宋_GB2312" w:eastAsia="仿宋_GB2312" w:cs="仿宋_GB2312"/>
          <w:lang w:val="en-US" w:eastAsia="zh-CN"/>
        </w:rPr>
        <w:t>八</w:t>
      </w:r>
      <w:r>
        <w:rPr>
          <w:rFonts w:ascii="仿宋_GB2312" w:hAnsi="仿宋_GB2312" w:eastAsia="仿宋_GB2312" w:cs="仿宋_GB2312"/>
        </w:rPr>
        <w:t>、</w:t>
      </w:r>
      <w:r>
        <w:rPr>
          <w:rFonts w:hint="eastAsia" w:ascii="仿宋_GB2312" w:hAnsi="仿宋_GB2312" w:eastAsia="仿宋_GB2312" w:cs="仿宋_GB2312"/>
          <w:lang w:val="en-US" w:eastAsia="zh-CN"/>
        </w:rPr>
        <w:t xml:space="preserve"> </w:t>
      </w:r>
      <w:r>
        <w:rPr>
          <w:rFonts w:ascii="仿宋_GB2312" w:hAnsi="仿宋_GB2312" w:eastAsia="仿宋_GB2312" w:cs="仿宋_GB2312"/>
        </w:rPr>
        <w:t>其他事项</w:t>
      </w:r>
    </w:p>
    <w:p w14:paraId="7B2F4085">
      <w:pPr>
        <w:pStyle w:val="11"/>
        <w:jc w:val="left"/>
        <w:outlineLvl w:val="2"/>
      </w:pPr>
      <w:r>
        <w:rPr>
          <w:rFonts w:ascii="仿宋_GB2312" w:hAnsi="仿宋_GB2312" w:eastAsia="仿宋_GB2312" w:cs="仿宋_GB2312"/>
          <w:b/>
          <w:sz w:val="28"/>
        </w:rPr>
        <w:t>第三章 采购需求</w:t>
      </w:r>
    </w:p>
    <w:p w14:paraId="2A38C019">
      <w:pPr>
        <w:pStyle w:val="11"/>
        <w:ind w:firstLine="480"/>
        <w:jc w:val="both"/>
      </w:pPr>
      <w:r>
        <w:rPr>
          <w:rFonts w:ascii="仿宋_GB2312" w:hAnsi="仿宋_GB2312" w:eastAsia="仿宋_GB2312" w:cs="仿宋_GB2312"/>
        </w:rPr>
        <w:t>一、</w:t>
      </w:r>
      <w:r>
        <w:rPr>
          <w:rFonts w:hint="eastAsia" w:ascii="仿宋_GB2312" w:hAnsi="仿宋_GB2312" w:eastAsia="仿宋_GB2312" w:cs="仿宋_GB2312"/>
          <w:lang w:val="en-US" w:eastAsia="zh-CN"/>
        </w:rPr>
        <w:t xml:space="preserve"> </w:t>
      </w:r>
      <w:r>
        <w:rPr>
          <w:rFonts w:ascii="仿宋_GB2312" w:hAnsi="仿宋_GB2312" w:eastAsia="仿宋_GB2312" w:cs="仿宋_GB2312"/>
        </w:rPr>
        <w:t>技术要求</w:t>
      </w:r>
    </w:p>
    <w:p w14:paraId="18EF6157">
      <w:pPr>
        <w:pStyle w:val="11"/>
        <w:ind w:firstLine="480"/>
        <w:jc w:val="both"/>
        <w:rPr>
          <w:rFonts w:hint="eastAsia" w:ascii="仿宋_GB2312" w:hAnsi="仿宋_GB2312" w:eastAsia="仿宋_GB2312" w:cs="仿宋_GB2312"/>
          <w:lang w:eastAsia="zh-CN"/>
        </w:rPr>
      </w:pPr>
      <w:r>
        <w:rPr>
          <w:rFonts w:ascii="仿宋_GB2312" w:hAnsi="仿宋_GB2312" w:eastAsia="仿宋_GB2312" w:cs="仿宋_GB2312"/>
        </w:rPr>
        <w:t>二、</w:t>
      </w:r>
      <w:r>
        <w:rPr>
          <w:rFonts w:hint="eastAsia" w:ascii="仿宋_GB2312" w:hAnsi="仿宋_GB2312" w:eastAsia="仿宋_GB2312" w:cs="仿宋_GB2312"/>
          <w:lang w:val="en-US" w:eastAsia="zh-CN"/>
        </w:rPr>
        <w:t xml:space="preserve"> </w:t>
      </w:r>
      <w:r>
        <w:rPr>
          <w:rFonts w:ascii="仿宋_GB2312" w:hAnsi="仿宋_GB2312" w:eastAsia="仿宋_GB2312" w:cs="仿宋_GB2312"/>
        </w:rPr>
        <w:t>配套的必要耗材(专用耗材)</w:t>
      </w:r>
    </w:p>
    <w:p w14:paraId="4E7C1DED">
      <w:pPr>
        <w:pStyle w:val="11"/>
        <w:ind w:firstLine="480"/>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三</w:t>
      </w:r>
      <w:r>
        <w:rPr>
          <w:rFonts w:ascii="仿宋_GB2312" w:hAnsi="仿宋_GB2312" w:eastAsia="仿宋_GB2312" w:cs="仿宋_GB2312"/>
        </w:rPr>
        <w:t>、</w:t>
      </w:r>
      <w:r>
        <w:rPr>
          <w:rFonts w:hint="eastAsia" w:ascii="仿宋_GB2312" w:hAnsi="仿宋_GB2312" w:eastAsia="仿宋_GB2312" w:cs="仿宋_GB2312"/>
          <w:lang w:val="en-US" w:eastAsia="zh-CN"/>
        </w:rPr>
        <w:t xml:space="preserve"> 实质性条款</w:t>
      </w:r>
    </w:p>
    <w:p w14:paraId="34D48F29">
      <w:pPr>
        <w:pStyle w:val="11"/>
        <w:ind w:firstLine="480"/>
        <w:jc w:val="both"/>
      </w:pPr>
      <w:r>
        <w:rPr>
          <w:rFonts w:hint="eastAsia" w:ascii="仿宋_GB2312" w:hAnsi="仿宋_GB2312" w:eastAsia="仿宋_GB2312" w:cs="仿宋_GB2312"/>
          <w:lang w:val="en-US" w:eastAsia="zh-CN"/>
        </w:rPr>
        <w:t xml:space="preserve">四、 </w:t>
      </w:r>
      <w:r>
        <w:rPr>
          <w:rFonts w:ascii="仿宋_GB2312" w:hAnsi="仿宋_GB2312" w:eastAsia="仿宋_GB2312" w:cs="仿宋_GB2312"/>
        </w:rPr>
        <w:t>商务要求</w:t>
      </w:r>
    </w:p>
    <w:p w14:paraId="385775B0">
      <w:pPr>
        <w:pStyle w:val="11"/>
        <w:ind w:firstLine="480"/>
        <w:jc w:val="both"/>
      </w:pPr>
      <w:r>
        <w:rPr>
          <w:rFonts w:hint="eastAsia" w:ascii="仿宋_GB2312" w:hAnsi="仿宋_GB2312" w:eastAsia="仿宋_GB2312" w:cs="仿宋_GB2312"/>
          <w:lang w:val="en-US" w:eastAsia="zh-CN"/>
        </w:rPr>
        <w:t>五</w:t>
      </w:r>
      <w:r>
        <w:rPr>
          <w:rFonts w:ascii="仿宋_GB2312" w:hAnsi="仿宋_GB2312" w:eastAsia="仿宋_GB2312" w:cs="仿宋_GB2312"/>
        </w:rPr>
        <w:t>、</w:t>
      </w:r>
      <w:r>
        <w:rPr>
          <w:rFonts w:hint="eastAsia" w:ascii="仿宋_GB2312" w:hAnsi="仿宋_GB2312" w:eastAsia="仿宋_GB2312" w:cs="仿宋_GB2312"/>
          <w:lang w:val="en-US" w:eastAsia="zh-CN"/>
        </w:rPr>
        <w:t xml:space="preserve"> </w:t>
      </w:r>
      <w:r>
        <w:rPr>
          <w:rFonts w:ascii="仿宋_GB2312" w:hAnsi="仿宋_GB2312" w:eastAsia="仿宋_GB2312" w:cs="仿宋_GB2312"/>
        </w:rPr>
        <w:t>量价关系折扣</w:t>
      </w:r>
    </w:p>
    <w:p w14:paraId="080ABDC7">
      <w:pPr>
        <w:pStyle w:val="11"/>
        <w:jc w:val="left"/>
        <w:outlineLvl w:val="2"/>
      </w:pPr>
      <w:r>
        <w:rPr>
          <w:rFonts w:ascii="仿宋_GB2312" w:hAnsi="仿宋_GB2312" w:eastAsia="仿宋_GB2312" w:cs="仿宋_GB2312"/>
          <w:b/>
          <w:sz w:val="28"/>
        </w:rPr>
        <w:t>第四章 资格审查</w:t>
      </w:r>
    </w:p>
    <w:p w14:paraId="54522810">
      <w:pPr>
        <w:pStyle w:val="11"/>
        <w:jc w:val="left"/>
        <w:outlineLvl w:val="2"/>
      </w:pPr>
      <w:r>
        <w:rPr>
          <w:rFonts w:ascii="仿宋_GB2312" w:hAnsi="仿宋_GB2312" w:eastAsia="仿宋_GB2312" w:cs="仿宋_GB2312"/>
          <w:b/>
          <w:sz w:val="28"/>
        </w:rPr>
        <w:t>第五章 入围评审办法</w:t>
      </w:r>
    </w:p>
    <w:p w14:paraId="2EE84B61">
      <w:pPr>
        <w:pStyle w:val="11"/>
        <w:ind w:firstLine="480"/>
        <w:jc w:val="both"/>
      </w:pPr>
      <w:r>
        <w:rPr>
          <w:rFonts w:ascii="仿宋_GB2312" w:hAnsi="仿宋_GB2312" w:eastAsia="仿宋_GB2312" w:cs="仿宋_GB2312"/>
        </w:rPr>
        <w:t>一、 评审程序</w:t>
      </w:r>
    </w:p>
    <w:p w14:paraId="13634907">
      <w:pPr>
        <w:pStyle w:val="11"/>
        <w:ind w:firstLine="480"/>
        <w:jc w:val="both"/>
      </w:pPr>
      <w:r>
        <w:rPr>
          <w:rFonts w:ascii="仿宋_GB2312" w:hAnsi="仿宋_GB2312" w:eastAsia="仿宋_GB2312" w:cs="仿宋_GB2312"/>
        </w:rPr>
        <w:t>二、 评审细则及标准</w:t>
      </w:r>
    </w:p>
    <w:p w14:paraId="7F9EE022">
      <w:pPr>
        <w:pStyle w:val="11"/>
        <w:ind w:firstLine="480"/>
        <w:jc w:val="both"/>
      </w:pPr>
      <w:r>
        <w:rPr>
          <w:rFonts w:ascii="仿宋_GB2312" w:hAnsi="仿宋_GB2312" w:eastAsia="仿宋_GB2312" w:cs="仿宋_GB2312"/>
        </w:rPr>
        <w:t>三、 评审标准</w:t>
      </w:r>
    </w:p>
    <w:p w14:paraId="58428CA7">
      <w:pPr>
        <w:pStyle w:val="11"/>
        <w:ind w:firstLine="480"/>
        <w:jc w:val="both"/>
      </w:pPr>
      <w:r>
        <w:rPr>
          <w:rFonts w:ascii="仿宋_GB2312" w:hAnsi="仿宋_GB2312" w:eastAsia="仿宋_GB2312" w:cs="仿宋_GB2312"/>
        </w:rPr>
        <w:t>四、</w:t>
      </w:r>
      <w:r>
        <w:rPr>
          <w:rFonts w:hint="eastAsia" w:ascii="仿宋_GB2312" w:hAnsi="仿宋_GB2312" w:eastAsia="仿宋_GB2312" w:cs="仿宋_GB2312"/>
          <w:lang w:val="en-US" w:eastAsia="zh-CN"/>
        </w:rPr>
        <w:t xml:space="preserve"> </w:t>
      </w:r>
      <w:r>
        <w:rPr>
          <w:rFonts w:hint="eastAsia" w:ascii="仿宋_GB2312" w:hAnsi="仿宋_GB2312" w:eastAsia="仿宋_GB2312" w:cs="仿宋_GB2312"/>
          <w:lang w:eastAsia="zh-CN"/>
        </w:rPr>
        <w:t>投标（响应）</w:t>
      </w:r>
      <w:r>
        <w:rPr>
          <w:rFonts w:ascii="仿宋_GB2312" w:hAnsi="仿宋_GB2312" w:eastAsia="仿宋_GB2312" w:cs="仿宋_GB2312"/>
        </w:rPr>
        <w:t>文件无效情形</w:t>
      </w:r>
    </w:p>
    <w:p w14:paraId="0B641F3D">
      <w:pPr>
        <w:pStyle w:val="11"/>
        <w:jc w:val="left"/>
        <w:outlineLvl w:val="2"/>
      </w:pPr>
      <w:r>
        <w:rPr>
          <w:rFonts w:ascii="仿宋_GB2312" w:hAnsi="仿宋_GB2312" w:eastAsia="仿宋_GB2312" w:cs="仿宋_GB2312"/>
          <w:b/>
          <w:sz w:val="28"/>
        </w:rPr>
        <w:t xml:space="preserve">第六章 </w:t>
      </w:r>
      <w:r>
        <w:rPr>
          <w:rFonts w:hint="eastAsia" w:ascii="仿宋_GB2312" w:hAnsi="仿宋_GB2312" w:eastAsia="仿宋_GB2312" w:cs="仿宋_GB2312"/>
          <w:b/>
          <w:sz w:val="28"/>
          <w:lang w:eastAsia="zh-CN"/>
        </w:rPr>
        <w:t>投标（响应）</w:t>
      </w:r>
      <w:r>
        <w:rPr>
          <w:rFonts w:ascii="仿宋_GB2312" w:hAnsi="仿宋_GB2312" w:eastAsia="仿宋_GB2312" w:cs="仿宋_GB2312"/>
          <w:b/>
          <w:sz w:val="28"/>
        </w:rPr>
        <w:t>文件格式</w:t>
      </w:r>
    </w:p>
    <w:p w14:paraId="0B1FBE15">
      <w:pPr>
        <w:pStyle w:val="11"/>
        <w:ind w:firstLine="480"/>
        <w:jc w:val="both"/>
      </w:pPr>
      <w:r>
        <w:rPr>
          <w:rFonts w:ascii="仿宋_GB2312" w:hAnsi="仿宋_GB2312" w:eastAsia="仿宋_GB2312" w:cs="仿宋_GB2312"/>
        </w:rPr>
        <w:t>项目级格式文件</w:t>
      </w:r>
    </w:p>
    <w:p w14:paraId="2E0F3813">
      <w:pPr>
        <w:pStyle w:val="11"/>
        <w:ind w:firstLine="480"/>
        <w:jc w:val="both"/>
      </w:pPr>
      <w:r>
        <w:rPr>
          <w:rFonts w:ascii="仿宋_GB2312" w:hAnsi="仿宋_GB2312" w:eastAsia="仿宋_GB2312" w:cs="仿宋_GB2312"/>
        </w:rPr>
        <w:t>一、 供应商资格要求-商标注册证</w:t>
      </w:r>
    </w:p>
    <w:p w14:paraId="4BBA0309">
      <w:pPr>
        <w:pStyle w:val="11"/>
        <w:ind w:firstLine="480"/>
        <w:jc w:val="both"/>
      </w:pPr>
      <w:r>
        <w:rPr>
          <w:rFonts w:ascii="仿宋_GB2312" w:hAnsi="仿宋_GB2312" w:eastAsia="仿宋_GB2312" w:cs="仿宋_GB2312"/>
        </w:rPr>
        <w:t>二、 供应商资格要求-营业执照</w:t>
      </w:r>
    </w:p>
    <w:p w14:paraId="0870A6AC">
      <w:pPr>
        <w:pStyle w:val="11"/>
        <w:ind w:firstLine="480"/>
        <w:jc w:val="both"/>
      </w:pPr>
      <w:r>
        <w:rPr>
          <w:rFonts w:ascii="仿宋_GB2312" w:hAnsi="仿宋_GB2312" w:eastAsia="仿宋_GB2312" w:cs="仿宋_GB2312"/>
        </w:rPr>
        <w:t>三、 供应商资格要求-</w:t>
      </w:r>
      <w:r>
        <w:rPr>
          <w:rFonts w:hint="eastAsia" w:ascii="仿宋_GB2312" w:hAnsi="仿宋_GB2312" w:eastAsia="仿宋_GB2312" w:cs="仿宋_GB2312"/>
          <w:lang w:eastAsia="zh-CN"/>
        </w:rPr>
        <w:t>投标（响应）</w:t>
      </w:r>
      <w:r>
        <w:rPr>
          <w:rFonts w:ascii="仿宋_GB2312" w:hAnsi="仿宋_GB2312" w:eastAsia="仿宋_GB2312" w:cs="仿宋_GB2312"/>
        </w:rPr>
        <w:t>及履约承诺函</w:t>
      </w:r>
    </w:p>
    <w:p w14:paraId="4E4E6349">
      <w:pPr>
        <w:pStyle w:val="11"/>
        <w:ind w:firstLine="480"/>
        <w:jc w:val="both"/>
        <w:rPr>
          <w:rFonts w:ascii="仿宋_GB2312" w:hAnsi="仿宋_GB2312" w:eastAsia="仿宋_GB2312" w:cs="仿宋_GB2312"/>
        </w:rPr>
      </w:pPr>
      <w:r>
        <w:rPr>
          <w:rFonts w:ascii="仿宋_GB2312" w:hAnsi="仿宋_GB2312" w:eastAsia="仿宋_GB2312" w:cs="仿宋_GB2312"/>
        </w:rPr>
        <w:t>四、 供应商基本情况表</w:t>
      </w:r>
    </w:p>
    <w:p w14:paraId="14C56BB1">
      <w:pPr>
        <w:pStyle w:val="11"/>
        <w:ind w:firstLine="480"/>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五、 响应函</w:t>
      </w:r>
    </w:p>
    <w:p w14:paraId="3DC8A5E0">
      <w:pPr>
        <w:pStyle w:val="11"/>
        <w:ind w:firstLine="480"/>
        <w:jc w:val="both"/>
      </w:pPr>
      <w:r>
        <w:rPr>
          <w:rFonts w:hint="eastAsia" w:ascii="仿宋_GB2312" w:hAnsi="仿宋_GB2312" w:eastAsia="仿宋_GB2312" w:cs="仿宋_GB2312"/>
          <w:lang w:val="en-US" w:eastAsia="zh-CN"/>
        </w:rPr>
        <w:t>六</w:t>
      </w:r>
      <w:r>
        <w:rPr>
          <w:rFonts w:ascii="仿宋_GB2312" w:hAnsi="仿宋_GB2312" w:eastAsia="仿宋_GB2312" w:cs="仿宋_GB2312"/>
        </w:rPr>
        <w:t>、 供应商认为需要加以说明的其他内容</w:t>
      </w:r>
    </w:p>
    <w:p w14:paraId="5C16B9C9">
      <w:pPr>
        <w:pStyle w:val="11"/>
        <w:ind w:firstLine="480"/>
        <w:jc w:val="both"/>
      </w:pPr>
      <w:r>
        <w:rPr>
          <w:rFonts w:hint="eastAsia" w:ascii="仿宋_GB2312" w:hAnsi="仿宋_GB2312" w:eastAsia="仿宋_GB2312" w:cs="仿宋_GB2312"/>
          <w:lang w:val="en-US" w:eastAsia="zh-CN"/>
        </w:rPr>
        <w:t>七</w:t>
      </w:r>
      <w:r>
        <w:rPr>
          <w:rFonts w:ascii="仿宋_GB2312" w:hAnsi="仿宋_GB2312" w:eastAsia="仿宋_GB2312" w:cs="仿宋_GB2312"/>
        </w:rPr>
        <w:t>、 法定代表人(负责人)证明书</w:t>
      </w:r>
    </w:p>
    <w:p w14:paraId="4F11670E">
      <w:pPr>
        <w:pStyle w:val="11"/>
        <w:ind w:firstLine="480"/>
        <w:jc w:val="both"/>
      </w:pPr>
      <w:r>
        <w:rPr>
          <w:rFonts w:hint="eastAsia" w:ascii="仿宋_GB2312" w:hAnsi="仿宋_GB2312" w:eastAsia="仿宋_GB2312" w:cs="仿宋_GB2312"/>
          <w:lang w:val="en-US" w:eastAsia="zh-CN"/>
        </w:rPr>
        <w:t>八</w:t>
      </w:r>
      <w:r>
        <w:rPr>
          <w:rFonts w:ascii="仿宋_GB2312" w:hAnsi="仿宋_GB2312" w:eastAsia="仿宋_GB2312" w:cs="仿宋_GB2312"/>
        </w:rPr>
        <w:t>、 投标（响应）文件签署授权委托书</w:t>
      </w:r>
    </w:p>
    <w:p w14:paraId="7ADBF2D0">
      <w:pPr>
        <w:pStyle w:val="11"/>
        <w:jc w:val="both"/>
        <w:rPr>
          <w:rFonts w:ascii="仿宋_GB2312" w:hAnsi="仿宋_GB2312" w:eastAsia="仿宋_GB2312" w:cs="仿宋_GB2312"/>
        </w:rPr>
      </w:pPr>
    </w:p>
    <w:p w14:paraId="657832BD">
      <w:pPr>
        <w:pStyle w:val="11"/>
        <w:ind w:firstLine="480"/>
        <w:jc w:val="both"/>
      </w:pPr>
      <w:r>
        <w:rPr>
          <w:rFonts w:ascii="仿宋_GB2312" w:hAnsi="仿宋_GB2312" w:eastAsia="仿宋_GB2312" w:cs="仿宋_GB2312"/>
        </w:rPr>
        <w:t>采购包级格式文件</w:t>
      </w:r>
    </w:p>
    <w:p w14:paraId="050CF3FF">
      <w:pPr>
        <w:pStyle w:val="11"/>
        <w:ind w:firstLine="480"/>
        <w:jc w:val="both"/>
      </w:pPr>
      <w:r>
        <w:rPr>
          <w:rFonts w:ascii="仿宋_GB2312" w:hAnsi="仿宋_GB2312" w:eastAsia="仿宋_GB2312" w:cs="仿宋_GB2312"/>
        </w:rPr>
        <w:t>一、 产品技术参数</w:t>
      </w:r>
    </w:p>
    <w:p w14:paraId="0966DD6B">
      <w:pPr>
        <w:pStyle w:val="11"/>
        <w:ind w:firstLine="480"/>
        <w:jc w:val="both"/>
      </w:pPr>
      <w:r>
        <w:rPr>
          <w:rFonts w:ascii="仿宋_GB2312" w:hAnsi="仿宋_GB2312" w:eastAsia="仿宋_GB2312" w:cs="仿宋_GB2312"/>
        </w:rPr>
        <w:t>二、 报价明细表</w:t>
      </w:r>
    </w:p>
    <w:p w14:paraId="2EACAECB">
      <w:pPr>
        <w:pStyle w:val="11"/>
        <w:ind w:firstLine="480"/>
        <w:jc w:val="both"/>
      </w:pPr>
      <w:r>
        <w:rPr>
          <w:rFonts w:ascii="仿宋_GB2312" w:hAnsi="仿宋_GB2312" w:eastAsia="仿宋_GB2312" w:cs="仿宋_GB2312"/>
        </w:rPr>
        <w:t>三、 报价一览表</w:t>
      </w:r>
    </w:p>
    <w:p w14:paraId="243A149E">
      <w:pPr>
        <w:pStyle w:val="11"/>
        <w:ind w:firstLine="480"/>
        <w:jc w:val="both"/>
        <w:rPr>
          <w:rFonts w:ascii="仿宋_GB2312" w:hAnsi="仿宋_GB2312" w:eastAsia="仿宋_GB2312" w:cs="仿宋_GB2312"/>
        </w:rPr>
      </w:pPr>
      <w:r>
        <w:rPr>
          <w:rFonts w:hint="eastAsia" w:ascii="仿宋_GB2312" w:hAnsi="仿宋_GB2312" w:eastAsia="仿宋_GB2312" w:cs="仿宋_GB2312"/>
          <w:lang w:val="en-US" w:eastAsia="zh-CN"/>
        </w:rPr>
        <w:t>四</w:t>
      </w:r>
      <w:r>
        <w:rPr>
          <w:rFonts w:ascii="仿宋_GB2312" w:hAnsi="仿宋_GB2312" w:eastAsia="仿宋_GB2312" w:cs="仿宋_GB2312"/>
        </w:rPr>
        <w:t xml:space="preserve">、 </w:t>
      </w:r>
      <w:r>
        <w:rPr>
          <w:rFonts w:hint="eastAsia" w:ascii="仿宋_GB2312" w:hAnsi="仿宋_GB2312" w:eastAsia="仿宋_GB2312" w:cs="仿宋_GB2312"/>
        </w:rPr>
        <w:t>实质性条款响应情况表</w:t>
      </w:r>
    </w:p>
    <w:p w14:paraId="00E71ADF">
      <w:pPr>
        <w:pStyle w:val="11"/>
        <w:ind w:firstLine="480"/>
        <w:jc w:val="both"/>
      </w:pPr>
      <w:r>
        <w:rPr>
          <w:rFonts w:hint="eastAsia" w:ascii="仿宋_GB2312" w:hAnsi="仿宋_GB2312" w:eastAsia="仿宋_GB2312" w:cs="仿宋_GB2312"/>
          <w:lang w:val="en-US" w:eastAsia="zh-CN"/>
        </w:rPr>
        <w:t xml:space="preserve">五、 </w:t>
      </w:r>
      <w:r>
        <w:rPr>
          <w:rFonts w:hint="eastAsia" w:ascii="仿宋_GB2312" w:hAnsi="仿宋_GB2312" w:eastAsia="仿宋_GB2312" w:cs="仿宋_GB2312"/>
        </w:rPr>
        <w:t>商务要求偏离表</w:t>
      </w:r>
    </w:p>
    <w:p w14:paraId="2007CFB0">
      <w:pPr>
        <w:pStyle w:val="11"/>
        <w:ind w:firstLine="480"/>
        <w:jc w:val="both"/>
      </w:pPr>
      <w:r>
        <w:rPr>
          <w:rFonts w:hint="eastAsia" w:ascii="仿宋_GB2312" w:hAnsi="仿宋_GB2312" w:eastAsia="仿宋_GB2312" w:cs="仿宋_GB2312"/>
          <w:lang w:val="en-US" w:eastAsia="zh-CN"/>
        </w:rPr>
        <w:t>六</w:t>
      </w:r>
      <w:r>
        <w:rPr>
          <w:rFonts w:ascii="仿宋_GB2312" w:hAnsi="仿宋_GB2312" w:eastAsia="仿宋_GB2312" w:cs="仿宋_GB2312"/>
        </w:rPr>
        <w:t>、 产品市场</w:t>
      </w:r>
      <w:r>
        <w:rPr>
          <w:rFonts w:hint="eastAsia" w:ascii="仿宋_GB2312" w:hAnsi="仿宋_GB2312" w:eastAsia="仿宋_GB2312" w:cs="仿宋_GB2312"/>
          <w:lang w:val="en-US" w:eastAsia="zh-CN"/>
        </w:rPr>
        <w:t>销售</w:t>
      </w:r>
      <w:r>
        <w:rPr>
          <w:rFonts w:ascii="仿宋_GB2312" w:hAnsi="仿宋_GB2312" w:eastAsia="仿宋_GB2312" w:cs="仿宋_GB2312"/>
        </w:rPr>
        <w:t>承诺函</w:t>
      </w:r>
    </w:p>
    <w:p w14:paraId="4F162441">
      <w:pPr>
        <w:pStyle w:val="11"/>
        <w:ind w:firstLine="480"/>
        <w:jc w:val="both"/>
        <w:rPr>
          <w:rFonts w:ascii="仿宋_GB2312" w:hAnsi="仿宋_GB2312" w:eastAsia="仿宋_GB2312" w:cs="仿宋_GB2312"/>
        </w:rPr>
      </w:pPr>
      <w:r>
        <w:rPr>
          <w:rFonts w:hint="eastAsia" w:ascii="仿宋_GB2312" w:hAnsi="仿宋_GB2312" w:eastAsia="仿宋_GB2312" w:cs="仿宋_GB2312"/>
          <w:lang w:val="en-US" w:eastAsia="zh-CN"/>
        </w:rPr>
        <w:t>七</w:t>
      </w:r>
      <w:r>
        <w:rPr>
          <w:rFonts w:ascii="仿宋_GB2312" w:hAnsi="仿宋_GB2312" w:eastAsia="仿宋_GB2312" w:cs="仿宋_GB2312"/>
        </w:rPr>
        <w:t>、 3C认证证书</w:t>
      </w:r>
    </w:p>
    <w:p w14:paraId="4ED78DAE">
      <w:pPr>
        <w:pStyle w:val="11"/>
        <w:ind w:firstLine="480"/>
        <w:jc w:val="both"/>
        <w:rPr>
          <w:rFonts w:ascii="仿宋_GB2312" w:hAnsi="仿宋_GB2312" w:eastAsia="仿宋_GB2312" w:cs="仿宋_GB2312"/>
        </w:rPr>
      </w:pPr>
      <w:r>
        <w:rPr>
          <w:rFonts w:hint="eastAsia" w:ascii="仿宋_GB2312" w:hAnsi="仿宋_GB2312" w:eastAsia="仿宋_GB2312" w:cs="仿宋_GB2312"/>
          <w:lang w:val="en-US" w:eastAsia="zh-CN"/>
        </w:rPr>
        <w:t xml:space="preserve">八、 </w:t>
      </w:r>
      <w:r>
        <w:rPr>
          <w:rFonts w:ascii="仿宋_GB2312" w:hAnsi="仿宋_GB2312" w:eastAsia="仿宋_GB2312" w:cs="仿宋_GB2312"/>
        </w:rPr>
        <w:t>适配符合安全可靠测评要求操作系统</w:t>
      </w:r>
      <w:r>
        <w:rPr>
          <w:rFonts w:hint="eastAsia" w:ascii="仿宋_GB2312" w:hAnsi="仿宋_GB2312" w:eastAsia="仿宋_GB2312" w:cs="仿宋_GB2312"/>
          <w:lang w:val="en-US" w:eastAsia="zh-CN"/>
        </w:rPr>
        <w:t>的</w:t>
      </w:r>
      <w:r>
        <w:rPr>
          <w:rFonts w:ascii="仿宋_GB2312" w:hAnsi="仿宋_GB2312" w:eastAsia="仿宋_GB2312" w:cs="仿宋_GB2312"/>
        </w:rPr>
        <w:t>承诺函</w:t>
      </w:r>
    </w:p>
    <w:p w14:paraId="65E8AB00">
      <w:pPr>
        <w:pStyle w:val="11"/>
        <w:ind w:firstLine="480"/>
        <w:jc w:val="both"/>
      </w:pPr>
      <w:r>
        <w:rPr>
          <w:rFonts w:hint="eastAsia" w:ascii="仿宋_GB2312" w:hAnsi="仿宋_GB2312" w:eastAsia="仿宋_GB2312" w:cs="仿宋_GB2312"/>
          <w:lang w:val="en-US" w:eastAsia="zh-CN"/>
        </w:rPr>
        <w:t>九</w:t>
      </w:r>
      <w:r>
        <w:rPr>
          <w:rFonts w:ascii="仿宋_GB2312" w:hAnsi="仿宋_GB2312" w:eastAsia="仿宋_GB2312" w:cs="仿宋_GB2312"/>
        </w:rPr>
        <w:t>、 节能产品认证证书</w:t>
      </w:r>
    </w:p>
    <w:p w14:paraId="3162AB4E">
      <w:pPr>
        <w:pStyle w:val="11"/>
        <w:ind w:firstLine="480"/>
        <w:jc w:val="both"/>
      </w:pPr>
      <w:r>
        <w:rPr>
          <w:rFonts w:hint="eastAsia" w:ascii="仿宋_GB2312" w:hAnsi="仿宋_GB2312" w:eastAsia="仿宋_GB2312" w:cs="仿宋_GB2312"/>
          <w:lang w:val="en-US" w:eastAsia="zh-CN"/>
        </w:rPr>
        <w:t>十</w:t>
      </w:r>
      <w:r>
        <w:rPr>
          <w:rFonts w:ascii="仿宋_GB2312" w:hAnsi="仿宋_GB2312" w:eastAsia="仿宋_GB2312" w:cs="仿宋_GB2312"/>
        </w:rPr>
        <w:t>、 中小企业声明函、残疾人福利性单位声明函及监狱企业声明函</w:t>
      </w:r>
    </w:p>
    <w:p w14:paraId="78F70258">
      <w:pPr>
        <w:pStyle w:val="11"/>
        <w:ind w:firstLine="480"/>
        <w:jc w:val="both"/>
      </w:pPr>
      <w:r>
        <w:rPr>
          <w:rFonts w:hint="eastAsia" w:ascii="仿宋_GB2312" w:hAnsi="仿宋_GB2312" w:eastAsia="仿宋_GB2312" w:cs="仿宋_GB2312"/>
          <w:lang w:val="en-US" w:eastAsia="zh-CN"/>
        </w:rPr>
        <w:t>十一</w:t>
      </w:r>
      <w:r>
        <w:rPr>
          <w:rFonts w:ascii="仿宋_GB2312" w:hAnsi="仿宋_GB2312" w:eastAsia="仿宋_GB2312" w:cs="仿宋_GB2312"/>
        </w:rPr>
        <w:t>、 环境标志产品认证证书</w:t>
      </w:r>
    </w:p>
    <w:p w14:paraId="02AA29CE">
      <w:pPr>
        <w:pStyle w:val="11"/>
        <w:ind w:firstLine="480"/>
        <w:jc w:val="both"/>
      </w:pPr>
      <w:r>
        <w:rPr>
          <w:rFonts w:hint="eastAsia" w:ascii="仿宋_GB2312" w:hAnsi="仿宋_GB2312" w:eastAsia="仿宋_GB2312" w:cs="仿宋_GB2312"/>
          <w:lang w:val="en-US" w:eastAsia="zh-CN"/>
        </w:rPr>
        <w:t>十二</w:t>
      </w:r>
      <w:r>
        <w:rPr>
          <w:rFonts w:ascii="仿宋_GB2312" w:hAnsi="仿宋_GB2312" w:eastAsia="仿宋_GB2312" w:cs="仿宋_GB2312"/>
        </w:rPr>
        <w:t>、 商品包装承诺函</w:t>
      </w:r>
    </w:p>
    <w:p w14:paraId="46ACD3E2">
      <w:pPr>
        <w:pStyle w:val="11"/>
        <w:ind w:firstLine="480"/>
        <w:jc w:val="both"/>
        <w:rPr>
          <w:rFonts w:ascii="仿宋_GB2312" w:hAnsi="仿宋_GB2312" w:eastAsia="仿宋_GB2312" w:cs="仿宋_GB2312"/>
        </w:rPr>
      </w:pPr>
      <w:r>
        <w:rPr>
          <w:rFonts w:ascii="仿宋_GB2312" w:hAnsi="仿宋_GB2312" w:eastAsia="仿宋_GB2312" w:cs="仿宋_GB2312"/>
        </w:rPr>
        <w:t>十</w:t>
      </w:r>
      <w:r>
        <w:rPr>
          <w:rFonts w:hint="eastAsia" w:ascii="仿宋_GB2312" w:hAnsi="仿宋_GB2312" w:eastAsia="仿宋_GB2312" w:cs="仿宋_GB2312"/>
          <w:lang w:val="en-US" w:eastAsia="zh-CN"/>
        </w:rPr>
        <w:t>三</w:t>
      </w:r>
      <w:r>
        <w:rPr>
          <w:rFonts w:ascii="仿宋_GB2312" w:hAnsi="仿宋_GB2312" w:eastAsia="仿宋_GB2312" w:cs="仿宋_GB2312"/>
        </w:rPr>
        <w:t>、 关于符合本国产品标准的声明函</w:t>
      </w:r>
    </w:p>
    <w:p w14:paraId="1E044384">
      <w:pPr>
        <w:pStyle w:val="11"/>
        <w:jc w:val="left"/>
        <w:outlineLvl w:val="2"/>
      </w:pPr>
      <w:r>
        <w:rPr>
          <w:rFonts w:ascii="仿宋_GB2312" w:hAnsi="仿宋_GB2312" w:eastAsia="仿宋_GB2312" w:cs="仿宋_GB2312"/>
          <w:b/>
          <w:sz w:val="28"/>
        </w:rPr>
        <w:t>第七章 框架协议文本</w:t>
      </w:r>
    </w:p>
    <w:p w14:paraId="118F7F00">
      <w:pPr>
        <w:pStyle w:val="11"/>
        <w:ind w:firstLine="480"/>
        <w:jc w:val="both"/>
      </w:pPr>
      <w:r>
        <w:rPr>
          <w:rFonts w:ascii="仿宋_GB2312" w:hAnsi="仿宋_GB2312" w:eastAsia="仿宋_GB2312" w:cs="仿宋_GB2312"/>
        </w:rPr>
        <w:t>深圳政府采购框架协议文本（货物）</w:t>
      </w:r>
    </w:p>
    <w:p w14:paraId="77F065C2">
      <w:pPr>
        <w:pStyle w:val="11"/>
        <w:ind w:firstLine="480"/>
        <w:jc w:val="both"/>
      </w:pPr>
      <w:r>
        <w:rPr>
          <w:rFonts w:ascii="仿宋_GB2312" w:hAnsi="仿宋_GB2312" w:eastAsia="仿宋_GB2312" w:cs="仿宋_GB2312"/>
        </w:rPr>
        <w:t>附件1：委托代理协议</w:t>
      </w:r>
    </w:p>
    <w:p w14:paraId="3F21CEF5">
      <w:pPr>
        <w:pStyle w:val="11"/>
        <w:ind w:firstLine="480"/>
        <w:jc w:val="both"/>
      </w:pPr>
      <w:r>
        <w:rPr>
          <w:rFonts w:ascii="仿宋_GB2312" w:hAnsi="仿宋_GB2312" w:eastAsia="仿宋_GB2312" w:cs="仿宋_GB2312"/>
        </w:rPr>
        <w:t>附件2：采购合同</w:t>
      </w:r>
    </w:p>
    <w:p w14:paraId="36E79F98">
      <w:pPr>
        <w:pStyle w:val="11"/>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E8E9F08">
      <w:pPr>
        <w:pStyle w:val="11"/>
        <w:jc w:val="center"/>
        <w:outlineLvl w:val="1"/>
      </w:pPr>
      <w:r>
        <w:rPr>
          <w:rFonts w:ascii="仿宋_GB2312" w:hAnsi="仿宋_GB2312" w:eastAsia="仿宋_GB2312" w:cs="仿宋_GB2312"/>
          <w:b/>
          <w:sz w:val="36"/>
        </w:rPr>
        <w:t>第一章 参加征集活动的邀请</w:t>
      </w:r>
    </w:p>
    <w:p w14:paraId="560B3478">
      <w:pPr>
        <w:pStyle w:val="11"/>
        <w:jc w:val="left"/>
        <w:outlineLvl w:val="2"/>
      </w:pPr>
      <w:r>
        <w:rPr>
          <w:rFonts w:ascii="仿宋_GB2312" w:hAnsi="仿宋_GB2312" w:eastAsia="仿宋_GB2312" w:cs="仿宋_GB2312"/>
          <w:b/>
          <w:sz w:val="28"/>
        </w:rPr>
        <w:t>项目概况</w:t>
      </w:r>
    </w:p>
    <w:p w14:paraId="08D3C8B5">
      <w:pPr>
        <w:pStyle w:val="11"/>
        <w:ind w:firstLine="480"/>
        <w:jc w:val="left"/>
      </w:pPr>
      <w:r>
        <w:rPr>
          <w:rFonts w:ascii="仿宋_GB2312" w:hAnsi="仿宋_GB2312" w:eastAsia="仿宋_GB2312" w:cs="仿宋_GB2312"/>
        </w:rPr>
        <w:t>为做好框架协议采购工作，根据《政府采购框架协议采购方式管理暂行办法》（财政部令第110号）和《财政部关于做好政府采购框架协议采购工作有关问题的通知》（财库〔2022〕17号）要求，结合深圳市政府采购情况，组织本次复印机框架协议采购征集工作，欢迎符合资格条件的供应商报名参加。本次项目征集人为深圳公共资源交易中心，具体由深圳公共资源交易中心（深圳交易集团有限公司政府采购业务分公司）组织实施。</w:t>
      </w:r>
    </w:p>
    <w:p w14:paraId="3AC0F04D">
      <w:pPr>
        <w:pStyle w:val="11"/>
        <w:jc w:val="left"/>
        <w:outlineLvl w:val="2"/>
      </w:pPr>
      <w:r>
        <w:rPr>
          <w:rFonts w:ascii="仿宋_GB2312" w:hAnsi="仿宋_GB2312" w:eastAsia="仿宋_GB2312" w:cs="仿宋_GB2312"/>
          <w:b/>
          <w:sz w:val="28"/>
        </w:rPr>
        <w:t>一、项目基本情况</w:t>
      </w:r>
    </w:p>
    <w:p w14:paraId="5747B2A1">
      <w:pPr>
        <w:pStyle w:val="11"/>
        <w:ind w:firstLine="480"/>
        <w:jc w:val="left"/>
        <w:rPr>
          <w:rFonts w:hint="default" w:eastAsia="仿宋_GB2312"/>
          <w:lang w:val="en-US" w:eastAsia="zh-CN"/>
        </w:rPr>
      </w:pPr>
      <w:r>
        <w:rPr>
          <w:rFonts w:ascii="仿宋_GB2312" w:hAnsi="仿宋_GB2312" w:eastAsia="仿宋_GB2312" w:cs="仿宋_GB2312"/>
        </w:rPr>
        <w:t xml:space="preserve"> 1.项目编号：</w:t>
      </w:r>
      <w:r>
        <w:rPr>
          <w:rFonts w:hint="eastAsia" w:ascii="仿宋_GB2312" w:hAnsi="仿宋_GB2312" w:eastAsia="仿宋_GB2312" w:cs="仿宋_GB2312"/>
          <w:lang w:val="en-US" w:eastAsia="zh-CN"/>
        </w:rPr>
        <w:t>SZKC2026000008</w:t>
      </w:r>
    </w:p>
    <w:p w14:paraId="1B18DAC5">
      <w:pPr>
        <w:pStyle w:val="11"/>
        <w:ind w:firstLine="480"/>
        <w:jc w:val="left"/>
        <w:rPr>
          <w:rFonts w:hint="default" w:eastAsia="仿宋_GB2312"/>
          <w:highlight w:val="yellow"/>
          <w:lang w:val="en-US" w:eastAsia="zh-CN"/>
        </w:rPr>
      </w:pPr>
      <w:r>
        <w:rPr>
          <w:rFonts w:ascii="仿宋_GB2312" w:hAnsi="仿宋_GB2312" w:eastAsia="仿宋_GB2312" w:cs="仿宋_GB2312"/>
        </w:rPr>
        <w:t xml:space="preserve"> 2.项目名称：2026-2027年度复印机框架协议采购项目</w:t>
      </w:r>
    </w:p>
    <w:p w14:paraId="2BCCF159">
      <w:pPr>
        <w:pStyle w:val="11"/>
        <w:jc w:val="left"/>
        <w:outlineLvl w:val="2"/>
      </w:pPr>
      <w:r>
        <w:rPr>
          <w:rFonts w:ascii="仿宋_GB2312" w:hAnsi="仿宋_GB2312" w:eastAsia="仿宋_GB2312" w:cs="仿宋_GB2312"/>
          <w:b/>
          <w:sz w:val="28"/>
        </w:rPr>
        <w:t>二、供应商资格要求</w:t>
      </w:r>
      <w:bookmarkStart w:id="0" w:name="_GoBack"/>
      <w:bookmarkEnd w:id="0"/>
    </w:p>
    <w:p w14:paraId="75651AA5">
      <w:pPr>
        <w:pStyle w:val="11"/>
        <w:ind w:firstLine="400" w:firstLineChars="200"/>
        <w:jc w:val="left"/>
        <w:rPr>
          <w:rFonts w:ascii="仿宋_GB2312" w:hAnsi="仿宋_GB2312" w:eastAsia="仿宋_GB2312" w:cs="仿宋_GB2312"/>
        </w:rPr>
      </w:pPr>
      <w:r>
        <w:rPr>
          <w:rFonts w:ascii="仿宋_GB2312" w:hAnsi="仿宋_GB2312" w:eastAsia="仿宋_GB2312" w:cs="仿宋_GB2312"/>
        </w:rPr>
        <w:t>1.投标（响应）供应商必须是产品生产厂家或者生产厂家针对本项目唯一授权供应商：</w:t>
      </w:r>
    </w:p>
    <w:p w14:paraId="0E07BE92">
      <w:pPr>
        <w:pStyle w:val="11"/>
        <w:ind w:firstLine="400" w:firstLineChars="200"/>
        <w:jc w:val="left"/>
        <w:rPr>
          <w:rFonts w:ascii="仿宋_GB2312" w:hAnsi="仿宋_GB2312" w:eastAsia="仿宋_GB2312" w:cs="仿宋_GB2312"/>
        </w:rPr>
      </w:pPr>
      <w:r>
        <w:rPr>
          <w:rFonts w:ascii="仿宋_GB2312" w:hAnsi="仿宋_GB2312" w:eastAsia="仿宋_GB2312" w:cs="仿宋_GB2312"/>
        </w:rPr>
        <w:t>（1）若投标（响应）的供应商为产品生产厂家的，需提供《商标注册证》，核定使用商品类别为第9类，且商标注册人应与投标（响应）供应商名称一致；如因供应商工商登记信息发生变更导致名称不一致的，需提供市场监管部门变更登记的证明材料；如商标注册人与投标（响应）供应商存在商标授权使用关系的，需提供商标注册人授权商标使用的证明材料（格式自拟）；</w:t>
      </w:r>
    </w:p>
    <w:p w14:paraId="49F7ABC8">
      <w:pPr>
        <w:pStyle w:val="11"/>
        <w:ind w:firstLine="400" w:firstLineChars="200"/>
        <w:jc w:val="left"/>
        <w:rPr>
          <w:rFonts w:ascii="仿宋_GB2312" w:hAnsi="仿宋_GB2312" w:eastAsia="仿宋_GB2312" w:cs="仿宋_GB2312"/>
        </w:rPr>
      </w:pPr>
      <w:r>
        <w:rPr>
          <w:rFonts w:ascii="仿宋_GB2312" w:hAnsi="仿宋_GB2312" w:eastAsia="仿宋_GB2312" w:cs="仿宋_GB2312"/>
        </w:rPr>
        <w:t>（2）若投标（响应）的供应商为产品生产厂家唯一授权供应商的，须提供第（1）项所述资料，及生产厂家针对本项目出具的唯一授权函扫描件（加盖生产厂家公章）；</w:t>
      </w:r>
    </w:p>
    <w:p w14:paraId="52BAF3ED">
      <w:pPr>
        <w:pStyle w:val="11"/>
        <w:ind w:firstLine="400" w:firstLineChars="200"/>
        <w:jc w:val="left"/>
      </w:pPr>
      <w:r>
        <w:rPr>
          <w:rFonts w:ascii="仿宋_GB2312" w:hAnsi="仿宋_GB2312" w:eastAsia="仿宋_GB2312" w:cs="仿宋_GB2312"/>
        </w:rPr>
        <w:t>两家或以上投标（响应）供应商使用的《商标注册证》的注册人为同一人的，均视为无效投标（响应）。</w:t>
      </w:r>
    </w:p>
    <w:p w14:paraId="4D6C8DD8">
      <w:pPr>
        <w:pStyle w:val="11"/>
        <w:ind w:firstLine="400" w:firstLineChars="200"/>
        <w:jc w:val="left"/>
      </w:pPr>
      <w:r>
        <w:rPr>
          <w:rFonts w:ascii="仿宋_GB2312" w:hAnsi="仿宋_GB2312" w:eastAsia="仿宋_GB2312" w:cs="仿宋_GB2312"/>
        </w:rPr>
        <w:t>2.具有独立法人资格或是具有独立承担民事责任能力的其他组织（提供营业执照或事业单位法人证书等证明资料扫描件：如果参与投标（响应）的供应商为分公司则须提供分公司营业执照、其所属集团（或总公司）等具有独立法人资格的组织出具的授权函或承诺书，但只接受直接授权，不接受逐级授权，并同时提供总公司营业执照。不接受同一集团（或总公司）授权两家或以上分公司同时参与本项目投标（响应），也不接受集团（或总公司）与分公司同时参与本项目投标（响应），如出现上述情形，该两家或以上供应商的投标（响应）文件均按无效投标（响应）处理）。</w:t>
      </w:r>
    </w:p>
    <w:p w14:paraId="769AB006">
      <w:pPr>
        <w:pStyle w:val="11"/>
        <w:ind w:firstLine="400" w:firstLineChars="200"/>
        <w:jc w:val="left"/>
        <w:rPr>
          <w:rFonts w:ascii="仿宋_GB2312" w:hAnsi="仿宋_GB2312" w:eastAsia="仿宋_GB2312" w:cs="仿宋_GB2312"/>
        </w:rPr>
      </w:pPr>
      <w:r>
        <w:rPr>
          <w:rFonts w:ascii="仿宋_GB2312" w:hAnsi="仿宋_GB2312" w:eastAsia="仿宋_GB2312" w:cs="仿宋_GB2312"/>
        </w:rPr>
        <w:t>3.投标（响应）供应商须符合以下要求，并由投标（响应）供应商在《投标（响应）及履约承诺函》中作出声明：：</w:t>
      </w:r>
    </w:p>
    <w:p w14:paraId="068915A6">
      <w:pPr>
        <w:pStyle w:val="11"/>
        <w:ind w:firstLine="400" w:firstLineChars="200"/>
        <w:jc w:val="left"/>
        <w:rPr>
          <w:rFonts w:ascii="仿宋_GB2312" w:hAnsi="仿宋_GB2312" w:eastAsia="仿宋_GB2312" w:cs="仿宋_GB2312"/>
        </w:rPr>
      </w:pPr>
      <w:r>
        <w:rPr>
          <w:rFonts w:ascii="仿宋_GB2312" w:hAnsi="仿宋_GB2312" w:eastAsia="仿宋_GB2312" w:cs="仿宋_GB2312"/>
        </w:rPr>
        <w:t xml:space="preserve">（1）本项目不接受联合体投标（响应），不接受进口产品投标（响应）； </w:t>
      </w:r>
    </w:p>
    <w:p w14:paraId="71E468BB">
      <w:pPr>
        <w:pStyle w:val="11"/>
        <w:ind w:firstLine="400" w:firstLineChars="200"/>
        <w:jc w:val="left"/>
        <w:rPr>
          <w:rFonts w:ascii="仿宋_GB2312" w:hAnsi="仿宋_GB2312" w:eastAsia="仿宋_GB2312" w:cs="仿宋_GB2312"/>
        </w:rPr>
      </w:pPr>
      <w:r>
        <w:rPr>
          <w:rFonts w:ascii="仿宋_GB2312" w:hAnsi="仿宋_GB2312" w:eastAsia="仿宋_GB2312" w:cs="仿宋_GB2312"/>
        </w:rPr>
        <w:t xml:space="preserve">（2）参与本项目政府采购活动时不存在被有关部门禁止参与政府采购活动且在有效期内的情况； </w:t>
      </w:r>
    </w:p>
    <w:p w14:paraId="780FB885">
      <w:pPr>
        <w:pStyle w:val="11"/>
        <w:ind w:firstLine="400" w:firstLineChars="200"/>
        <w:jc w:val="left"/>
        <w:rPr>
          <w:rFonts w:ascii="仿宋_GB2312" w:hAnsi="仿宋_GB2312" w:eastAsia="仿宋_GB2312" w:cs="仿宋_GB2312"/>
        </w:rPr>
      </w:pPr>
      <w:r>
        <w:rPr>
          <w:rFonts w:ascii="仿宋_GB2312" w:hAnsi="仿宋_GB2312" w:eastAsia="仿宋_GB2312" w:cs="仿宋_GB2312"/>
        </w:rPr>
        <w:t xml:space="preserve">（3）具备《中华人民共和国政府采购法》第二十二条第一款的条件； </w:t>
      </w:r>
    </w:p>
    <w:p w14:paraId="6B865474">
      <w:pPr>
        <w:pStyle w:val="11"/>
        <w:ind w:firstLine="400" w:firstLineChars="200"/>
        <w:jc w:val="left"/>
        <w:rPr>
          <w:rFonts w:ascii="仿宋_GB2312" w:hAnsi="仿宋_GB2312" w:eastAsia="仿宋_GB2312" w:cs="仿宋_GB2312"/>
        </w:rPr>
      </w:pPr>
      <w:r>
        <w:rPr>
          <w:rFonts w:ascii="仿宋_GB2312" w:hAnsi="仿宋_GB2312" w:eastAsia="仿宋_GB2312" w:cs="仿宋_GB2312"/>
        </w:rPr>
        <w:t xml:space="preserve">（4）未被列入失信被执行人、重大税收违法案件当事人名单、政府采购严重违法失信行为记录名单； </w:t>
      </w:r>
    </w:p>
    <w:p w14:paraId="4CFC7C89">
      <w:pPr>
        <w:pStyle w:val="11"/>
        <w:ind w:firstLine="400" w:firstLineChars="200"/>
        <w:jc w:val="left"/>
        <w:rPr>
          <w:rFonts w:ascii="仿宋_GB2312" w:hAnsi="仿宋_GB2312" w:eastAsia="仿宋_GB2312" w:cs="仿宋_GB2312"/>
        </w:rPr>
      </w:pPr>
      <w:r>
        <w:rPr>
          <w:rFonts w:ascii="仿宋_GB2312" w:hAnsi="仿宋_GB2312" w:eastAsia="仿宋_GB2312" w:cs="仿宋_GB2312"/>
        </w:rPr>
        <w:t xml:space="preserve">（5）不存在《深圳市财政局政府采购供应商信用信息管理办法》（深财规〔2023〕3号）列明的严重违法失信行为； </w:t>
      </w:r>
    </w:p>
    <w:p w14:paraId="2DF35C75">
      <w:pPr>
        <w:pStyle w:val="11"/>
        <w:ind w:firstLine="400" w:firstLineChars="200"/>
        <w:jc w:val="left"/>
      </w:pPr>
      <w:r>
        <w:rPr>
          <w:rFonts w:ascii="仿宋_GB2312" w:hAnsi="仿宋_GB2312" w:eastAsia="仿宋_GB2312" w:cs="仿宋_GB2312"/>
        </w:rPr>
        <w:t>（6）为采购项目提供整体设计、规范编制或者项目管理、监理、检测等服务的供应商，不得再参加该采购项目的其他采购活动。</w:t>
      </w:r>
    </w:p>
    <w:p w14:paraId="211C1E21">
      <w:pPr>
        <w:pStyle w:val="11"/>
        <w:ind w:firstLine="400" w:firstLineChars="200"/>
        <w:jc w:val="left"/>
      </w:pPr>
      <w:r>
        <w:rPr>
          <w:rFonts w:ascii="仿宋_GB2312" w:hAnsi="仿宋_GB2312" w:eastAsia="仿宋_GB2312" w:cs="仿宋_GB2312"/>
        </w:rPr>
        <w:t>4.不同供应商的法定代表人、主要经营负责人、项目投标（响应）授权代表人、项目负责人、主要技术人员不得为同一人、属同一单位或者在同一单位缴纳社会保险；不同投标（响应）供应商的投标（响应）文件不得由同一单位或者同一人编制；单位负责人为同一人或者存在直接控股、管理关系的不同供应商，不得参加本项目政府采购活动（由供应商填写《供应商基本情况表》相关信息）。</w:t>
      </w:r>
    </w:p>
    <w:p w14:paraId="5AB61395">
      <w:pPr>
        <w:pStyle w:val="11"/>
        <w:ind w:firstLine="480"/>
        <w:jc w:val="left"/>
      </w:pPr>
      <w:r>
        <w:rPr>
          <w:rFonts w:ascii="仿宋_GB2312" w:hAnsi="仿宋_GB2312" w:eastAsia="仿宋_GB2312" w:cs="仿宋_GB2312"/>
        </w:rPr>
        <w:t xml:space="preserve"> 注：（1）“信用中国”（www.creditchina.gov.cn，查询“信用服务”栏的“重大税收违法失信主体”“失信被执行人”或者下载信用信息报告），“中国政府采购网”（www.ccgp.gov.cn）中的“政府采购严重违法失信行为记录名单”，“深圳市政府采购监管网”（http://zfcg.sz.gov.cn）以及财政部门认可的“供应商诚信档案库”为供应商信用信息的查询渠道，相关信息以开标当日的查询结果为准。</w:t>
      </w:r>
    </w:p>
    <w:p w14:paraId="0D699C80">
      <w:pPr>
        <w:pStyle w:val="11"/>
        <w:ind w:firstLine="480"/>
        <w:jc w:val="left"/>
      </w:pPr>
      <w:r>
        <w:rPr>
          <w:rFonts w:ascii="仿宋_GB2312" w:hAnsi="仿宋_GB2312" w:eastAsia="仿宋_GB2312" w:cs="仿宋_GB2312"/>
        </w:rPr>
        <w:t xml:space="preserve"> （2）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号文和财办库〔2008〕248号文的相关规定为准。</w:t>
      </w:r>
    </w:p>
    <w:p w14:paraId="51F92C29">
      <w:pPr>
        <w:pStyle w:val="11"/>
        <w:jc w:val="left"/>
        <w:outlineLvl w:val="2"/>
      </w:pPr>
      <w:r>
        <w:rPr>
          <w:rFonts w:ascii="仿宋_GB2312" w:hAnsi="仿宋_GB2312" w:eastAsia="仿宋_GB2312" w:cs="仿宋_GB2312"/>
          <w:b/>
          <w:sz w:val="28"/>
        </w:rPr>
        <w:t>三、征集文件获取时间、方式及地址</w:t>
      </w:r>
    </w:p>
    <w:p w14:paraId="6A4DDC9D">
      <w:pPr>
        <w:pStyle w:val="11"/>
        <w:ind w:firstLine="480"/>
        <w:jc w:val="left"/>
      </w:pPr>
      <w:r>
        <w:rPr>
          <w:rFonts w:ascii="仿宋_GB2312" w:hAnsi="仿宋_GB2312" w:eastAsia="仿宋_GB2312" w:cs="仿宋_GB2312"/>
        </w:rPr>
        <w:t xml:space="preserve"> 1.征集文件获取时间：详见公告，如有变更详见征集（更正）公告。</w:t>
      </w:r>
    </w:p>
    <w:p w14:paraId="5E8842CC">
      <w:pPr>
        <w:pStyle w:val="11"/>
        <w:ind w:firstLine="480"/>
        <w:jc w:val="left"/>
      </w:pPr>
      <w:r>
        <w:rPr>
          <w:rFonts w:ascii="仿宋_GB2312" w:hAnsi="仿宋_GB2312" w:eastAsia="仿宋_GB2312" w:cs="仿宋_GB2312"/>
        </w:rPr>
        <w:t xml:space="preserve"> 2.在征集文件获取开始时间前，征集人将本项目征集文件上传至框架协议采购系统，免费向供应商提供。</w:t>
      </w:r>
    </w:p>
    <w:p w14:paraId="65205473">
      <w:pPr>
        <w:pStyle w:val="11"/>
        <w:ind w:firstLine="480"/>
        <w:jc w:val="left"/>
      </w:pPr>
      <w:r>
        <w:rPr>
          <w:rFonts w:ascii="仿宋_GB2312" w:hAnsi="仿宋_GB2312" w:eastAsia="仿宋_GB2312" w:cs="仿宋_GB2312"/>
        </w:rPr>
        <w:t xml:space="preserve"> 成功获取征集文件后，征集人进行澄清或者修改的，澄清或者修改的内容可能影响投标（响应）文件编制的，征集人将通过框架协议采购系统发布澄清或者修改后的征集文件，供应商应当重新获取征集文件。供应商未重新获取征集文件或者未按照澄清或者修改后的征集文件编制投标（响应）文件进行投标（响应）的，自行承担不利后果。</w:t>
      </w:r>
    </w:p>
    <w:p w14:paraId="7C72F98D">
      <w:pPr>
        <w:pStyle w:val="11"/>
        <w:ind w:firstLine="480"/>
        <w:jc w:val="left"/>
      </w:pPr>
      <w:r>
        <w:rPr>
          <w:rFonts w:ascii="仿宋_GB2312" w:hAnsi="仿宋_GB2312" w:eastAsia="仿宋_GB2312" w:cs="仿宋_GB2312"/>
        </w:rPr>
        <w:t xml:space="preserve"> 获取的征集文件主体格式包括pdf、word两种格式版本，其中以pdf格式为准。</w:t>
      </w:r>
    </w:p>
    <w:p w14:paraId="15C84865">
      <w:pPr>
        <w:pStyle w:val="11"/>
        <w:jc w:val="left"/>
        <w:outlineLvl w:val="2"/>
      </w:pPr>
      <w:r>
        <w:rPr>
          <w:rFonts w:ascii="仿宋_GB2312" w:hAnsi="仿宋_GB2312" w:eastAsia="仿宋_GB2312" w:cs="仿宋_GB2312"/>
          <w:b/>
          <w:sz w:val="28"/>
        </w:rPr>
        <w:t>四、投标（响应）文件提交截止时间及开启时间、地点、方式</w:t>
      </w:r>
    </w:p>
    <w:p w14:paraId="04AF91BA">
      <w:pPr>
        <w:pStyle w:val="11"/>
        <w:ind w:firstLine="480"/>
        <w:jc w:val="left"/>
      </w:pPr>
      <w:r>
        <w:rPr>
          <w:rFonts w:ascii="仿宋_GB2312" w:hAnsi="仿宋_GB2312" w:eastAsia="仿宋_GB2312" w:cs="仿宋_GB2312"/>
        </w:rPr>
        <w:t xml:space="preserve"> 1.投标（响应）文件提交截止时间及开启时间：详见公告，如有变更详见征集（更正）公告。</w:t>
      </w:r>
    </w:p>
    <w:p w14:paraId="3C5F815A">
      <w:pPr>
        <w:pStyle w:val="11"/>
        <w:ind w:firstLine="480"/>
        <w:jc w:val="left"/>
      </w:pPr>
      <w:r>
        <w:rPr>
          <w:rFonts w:ascii="仿宋_GB2312" w:hAnsi="仿宋_GB2312" w:eastAsia="仿宋_GB2312" w:cs="仿宋_GB2312"/>
        </w:rPr>
        <w:t xml:space="preserve"> 2.投标（响应）文件提交方式、地点：供应商应当在投标（响应）文件提交截止时间前，通过框架协议采购系统提交投标（响应）文件。</w:t>
      </w:r>
    </w:p>
    <w:p w14:paraId="1CFD49A2">
      <w:pPr>
        <w:pStyle w:val="11"/>
        <w:ind w:firstLine="480"/>
        <w:jc w:val="left"/>
      </w:pPr>
      <w:r>
        <w:rPr>
          <w:rFonts w:ascii="仿宋_GB2312" w:hAnsi="仿宋_GB2312" w:eastAsia="仿宋_GB2312" w:cs="仿宋_GB2312"/>
        </w:rPr>
        <w:t xml:space="preserve"> 3.本项目采取网上开启，即征集人通过框架协议采购系统“开标/开启大厅”组织在线开启。</w:t>
      </w:r>
    </w:p>
    <w:p w14:paraId="65FE24AC">
      <w:pPr>
        <w:pStyle w:val="11"/>
        <w:jc w:val="left"/>
        <w:outlineLvl w:val="2"/>
      </w:pPr>
      <w:r>
        <w:rPr>
          <w:rFonts w:ascii="仿宋_GB2312" w:hAnsi="仿宋_GB2312" w:eastAsia="仿宋_GB2312" w:cs="仿宋_GB2312"/>
          <w:b/>
          <w:sz w:val="28"/>
        </w:rPr>
        <w:t>五、联系方式</w:t>
      </w:r>
    </w:p>
    <w:p w14:paraId="2EEC92A2">
      <w:pPr>
        <w:pStyle w:val="11"/>
        <w:ind w:firstLine="480"/>
        <w:jc w:val="left"/>
      </w:pPr>
      <w:r>
        <w:rPr>
          <w:rFonts w:ascii="仿宋_GB2312" w:hAnsi="仿宋_GB2312" w:eastAsia="仿宋_GB2312" w:cs="仿宋_GB2312"/>
        </w:rPr>
        <w:t>1.征集人联系方式</w:t>
      </w:r>
    </w:p>
    <w:p w14:paraId="2678AF57">
      <w:pPr>
        <w:pStyle w:val="11"/>
        <w:ind w:firstLine="480"/>
        <w:jc w:val="left"/>
        <w:rPr>
          <w:rFonts w:ascii="仿宋_GB2312" w:hAnsi="仿宋_GB2312" w:eastAsia="仿宋_GB2312" w:cs="仿宋_GB2312"/>
        </w:rPr>
      </w:pPr>
      <w:r>
        <w:rPr>
          <w:rFonts w:ascii="仿宋_GB2312" w:hAnsi="仿宋_GB2312" w:eastAsia="仿宋_GB2312" w:cs="仿宋_GB2312"/>
        </w:rPr>
        <w:t>征集人名称：深圳公共资源交易中心，具体由深圳公共资源交易中心（深圳交易集团有限公司政府采购业务分公司）组织实施</w:t>
      </w:r>
    </w:p>
    <w:p w14:paraId="4885365A">
      <w:pPr>
        <w:pStyle w:val="11"/>
        <w:ind w:firstLine="480"/>
        <w:jc w:val="left"/>
        <w:rPr>
          <w:rFonts w:ascii="仿宋_GB2312" w:hAnsi="仿宋_GB2312" w:eastAsia="仿宋_GB2312" w:cs="仿宋_GB2312"/>
        </w:rPr>
      </w:pPr>
      <w:r>
        <w:rPr>
          <w:rFonts w:ascii="仿宋_GB2312" w:hAnsi="仿宋_GB2312" w:eastAsia="仿宋_GB2312" w:cs="仿宋_GB2312"/>
        </w:rPr>
        <w:t>地址：深圳市南山区沙河西路3185号南山智谷A座（深圳交易集团总部大楼）27楼</w:t>
      </w:r>
    </w:p>
    <w:p w14:paraId="17001B18">
      <w:pPr>
        <w:pStyle w:val="11"/>
        <w:ind w:firstLine="480"/>
        <w:jc w:val="left"/>
      </w:pPr>
      <w:r>
        <w:rPr>
          <w:rFonts w:ascii="仿宋_GB2312" w:hAnsi="仿宋_GB2312" w:eastAsia="仿宋_GB2312" w:cs="仿宋_GB2312"/>
        </w:rPr>
        <w:t>联系人：</w:t>
      </w:r>
      <w:r>
        <w:rPr>
          <w:rFonts w:hint="eastAsia" w:ascii="仿宋_GB2312" w:hAnsi="仿宋_GB2312" w:eastAsia="仿宋_GB2312" w:cs="仿宋_GB2312"/>
          <w:lang w:val="en-US" w:eastAsia="zh-CN"/>
        </w:rPr>
        <w:t>刘</w:t>
      </w:r>
      <w:r>
        <w:rPr>
          <w:rFonts w:ascii="仿宋_GB2312" w:hAnsi="仿宋_GB2312" w:eastAsia="仿宋_GB2312" w:cs="仿宋_GB2312"/>
        </w:rPr>
        <w:t>工</w:t>
      </w:r>
    </w:p>
    <w:p w14:paraId="6A507F91">
      <w:pPr>
        <w:pStyle w:val="11"/>
        <w:ind w:firstLine="480"/>
        <w:jc w:val="left"/>
        <w:rPr>
          <w:rFonts w:ascii="仿宋_GB2312" w:hAnsi="仿宋_GB2312" w:eastAsia="仿宋_GB2312" w:cs="仿宋_GB2312"/>
        </w:rPr>
      </w:pPr>
      <w:r>
        <w:rPr>
          <w:rFonts w:ascii="仿宋_GB2312" w:hAnsi="仿宋_GB2312" w:eastAsia="仿宋_GB2312" w:cs="仿宋_GB2312"/>
        </w:rPr>
        <w:t>联系电话：0755-865000</w:t>
      </w:r>
      <w:r>
        <w:rPr>
          <w:rFonts w:hint="eastAsia" w:ascii="仿宋_GB2312" w:hAnsi="仿宋_GB2312" w:eastAsia="仿宋_GB2312" w:cs="仿宋_GB2312"/>
          <w:lang w:val="en-US" w:eastAsia="zh-CN"/>
        </w:rPr>
        <w:t>4</w:t>
      </w:r>
      <w:r>
        <w:rPr>
          <w:rFonts w:ascii="仿宋_GB2312" w:hAnsi="仿宋_GB2312" w:eastAsia="仿宋_GB2312" w:cs="仿宋_GB2312"/>
        </w:rPr>
        <w:t>7</w:t>
      </w:r>
    </w:p>
    <w:p w14:paraId="5D57032E">
      <w:pPr>
        <w:pStyle w:val="11"/>
        <w:ind w:firstLine="480"/>
        <w:jc w:val="left"/>
      </w:pPr>
      <w:r>
        <w:rPr>
          <w:rFonts w:ascii="仿宋_GB2312" w:hAnsi="仿宋_GB2312" w:eastAsia="仿宋_GB2312" w:cs="仿宋_GB2312"/>
        </w:rPr>
        <w:t>2.技术支持联系方式</w:t>
      </w:r>
    </w:p>
    <w:p w14:paraId="5944BCCF">
      <w:pPr>
        <w:pStyle w:val="11"/>
        <w:ind w:firstLine="480"/>
        <w:jc w:val="left"/>
      </w:pPr>
      <w:r>
        <w:rPr>
          <w:rFonts w:ascii="仿宋_GB2312" w:hAnsi="仿宋_GB2312" w:eastAsia="仿宋_GB2312" w:cs="仿宋_GB2312"/>
        </w:rPr>
        <w:t>客服QQ号：2210798634</w:t>
      </w:r>
    </w:p>
    <w:p w14:paraId="3DE3603D">
      <w:pPr>
        <w:pStyle w:val="11"/>
        <w:ind w:firstLine="480"/>
        <w:jc w:val="left"/>
      </w:pPr>
      <w:r>
        <w:rPr>
          <w:rFonts w:ascii="仿宋_GB2312" w:hAnsi="仿宋_GB2312" w:eastAsia="仿宋_GB2312" w:cs="仿宋_GB2312"/>
        </w:rPr>
        <w:t>框架协议采购系统客服热线：0755-36568999转1再转6</w:t>
      </w:r>
    </w:p>
    <w:p w14:paraId="576280C5">
      <w:pPr>
        <w:pStyle w:val="11"/>
        <w:jc w:val="left"/>
        <w:rPr>
          <w:rFonts w:ascii="仿宋_GB2312" w:hAnsi="仿宋_GB2312" w:eastAsia="仿宋_GB2312" w:cs="仿宋_GB2312"/>
          <w:b/>
        </w:rPr>
        <w:sectPr>
          <w:pgSz w:w="11906" w:h="16838"/>
          <w:pgMar w:top="1440" w:right="1800" w:bottom="1440" w:left="1800" w:header="851" w:footer="992" w:gutter="0"/>
          <w:cols w:space="425" w:num="1"/>
          <w:docGrid w:type="lines" w:linePitch="312" w:charSpace="0"/>
        </w:sectPr>
      </w:pPr>
      <w:r>
        <w:rPr>
          <w:rFonts w:ascii="仿宋_GB2312" w:hAnsi="仿宋_GB2312" w:eastAsia="仿宋_GB2312" w:cs="仿宋_GB2312"/>
          <w:b/>
        </w:rPr>
        <w:t>完整公告内容详见：深圳公共资源交易网（https://www.szggzy.com）、深圳政府采购业务框架协议采购系统（https://kjcg.szggzy.com/gpfa-main-web/index?regionguid=2165）</w:t>
      </w:r>
    </w:p>
    <w:p w14:paraId="1B8C6C3C">
      <w:pPr>
        <w:pStyle w:val="11"/>
        <w:jc w:val="center"/>
        <w:outlineLvl w:val="1"/>
      </w:pPr>
      <w:r>
        <w:rPr>
          <w:rFonts w:ascii="仿宋_GB2312" w:hAnsi="仿宋_GB2312" w:eastAsia="仿宋_GB2312" w:cs="仿宋_GB2312"/>
          <w:b/>
          <w:sz w:val="36"/>
        </w:rPr>
        <w:t>第二章 征集项目主要内容</w:t>
      </w:r>
    </w:p>
    <w:p w14:paraId="352EF070">
      <w:pPr>
        <w:pStyle w:val="11"/>
        <w:jc w:val="left"/>
        <w:outlineLvl w:val="2"/>
      </w:pPr>
      <w:r>
        <w:rPr>
          <w:rFonts w:ascii="仿宋_GB2312" w:hAnsi="仿宋_GB2312" w:eastAsia="仿宋_GB2312" w:cs="仿宋_GB2312"/>
          <w:b/>
          <w:sz w:val="28"/>
        </w:rPr>
        <w:t>一、供应商须知前附表</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5"/>
        <w:gridCol w:w="1835"/>
        <w:gridCol w:w="5717"/>
      </w:tblGrid>
      <w:tr w14:paraId="5A345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0C1FBF4C">
            <w:pPr>
              <w:pStyle w:val="11"/>
              <w:jc w:val="center"/>
            </w:pPr>
            <w:r>
              <w:rPr>
                <w:rFonts w:ascii="仿宋_GB2312" w:hAnsi="仿宋_GB2312" w:eastAsia="仿宋_GB2312" w:cs="仿宋_GB2312"/>
              </w:rPr>
              <w:t>序号</w:t>
            </w:r>
          </w:p>
        </w:tc>
        <w:tc>
          <w:tcPr>
            <w:tcW w:w="1835" w:type="dxa"/>
            <w:tcMar>
              <w:top w:w="0" w:type="dxa"/>
              <w:left w:w="105" w:type="dxa"/>
              <w:bottom w:w="0" w:type="dxa"/>
              <w:right w:w="105" w:type="dxa"/>
            </w:tcMar>
            <w:vAlign w:val="center"/>
          </w:tcPr>
          <w:p w14:paraId="26FEF268">
            <w:pPr>
              <w:pStyle w:val="11"/>
              <w:jc w:val="center"/>
            </w:pPr>
            <w:r>
              <w:rPr>
                <w:rFonts w:ascii="仿宋_GB2312" w:hAnsi="仿宋_GB2312" w:eastAsia="仿宋_GB2312" w:cs="仿宋_GB2312"/>
              </w:rPr>
              <w:t>应知事项</w:t>
            </w:r>
          </w:p>
        </w:tc>
        <w:tc>
          <w:tcPr>
            <w:tcW w:w="5717" w:type="dxa"/>
            <w:tcMar>
              <w:top w:w="0" w:type="dxa"/>
              <w:left w:w="105" w:type="dxa"/>
              <w:bottom w:w="0" w:type="dxa"/>
              <w:right w:w="105" w:type="dxa"/>
            </w:tcMar>
            <w:vAlign w:val="center"/>
          </w:tcPr>
          <w:p w14:paraId="29B807DC">
            <w:pPr>
              <w:pStyle w:val="11"/>
              <w:jc w:val="center"/>
            </w:pPr>
            <w:r>
              <w:rPr>
                <w:rFonts w:ascii="仿宋_GB2312" w:hAnsi="仿宋_GB2312" w:eastAsia="仿宋_GB2312" w:cs="仿宋_GB2312"/>
              </w:rPr>
              <w:t>说明和要求</w:t>
            </w:r>
          </w:p>
        </w:tc>
      </w:tr>
      <w:tr w14:paraId="697E6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6FDEA951">
            <w:pPr>
              <w:pStyle w:val="11"/>
              <w:jc w:val="both"/>
            </w:pPr>
            <w:r>
              <w:rPr>
                <w:rFonts w:ascii="仿宋_GB2312" w:hAnsi="仿宋_GB2312" w:eastAsia="仿宋_GB2312" w:cs="仿宋_GB2312"/>
              </w:rPr>
              <w:t>1</w:t>
            </w:r>
          </w:p>
        </w:tc>
        <w:tc>
          <w:tcPr>
            <w:tcW w:w="1835" w:type="dxa"/>
            <w:tcMar>
              <w:top w:w="0" w:type="dxa"/>
              <w:left w:w="105" w:type="dxa"/>
              <w:bottom w:w="0" w:type="dxa"/>
              <w:right w:w="105" w:type="dxa"/>
            </w:tcMar>
            <w:vAlign w:val="center"/>
          </w:tcPr>
          <w:p w14:paraId="75989CFA">
            <w:pPr>
              <w:pStyle w:val="11"/>
              <w:jc w:val="both"/>
            </w:pPr>
            <w:r>
              <w:rPr>
                <w:rFonts w:ascii="仿宋_GB2312" w:hAnsi="仿宋_GB2312" w:eastAsia="仿宋_GB2312" w:cs="仿宋_GB2312"/>
              </w:rPr>
              <w:t>最高限制单价</w:t>
            </w:r>
          </w:p>
        </w:tc>
        <w:tc>
          <w:tcPr>
            <w:tcW w:w="5717" w:type="dxa"/>
            <w:tcMar>
              <w:top w:w="0" w:type="dxa"/>
              <w:left w:w="105" w:type="dxa"/>
              <w:bottom w:w="0" w:type="dxa"/>
              <w:right w:w="105" w:type="dxa"/>
            </w:tcMar>
            <w:vAlign w:val="center"/>
          </w:tcPr>
          <w:p w14:paraId="58393427">
            <w:pPr>
              <w:pStyle w:val="11"/>
              <w:jc w:val="both"/>
            </w:pPr>
            <w:r>
              <w:rPr>
                <w:rFonts w:ascii="仿宋_GB2312" w:hAnsi="仿宋_GB2312" w:eastAsia="仿宋_GB2312" w:cs="仿宋_GB2312"/>
              </w:rPr>
              <w:t>本项目各采购包最高限制单价详见第三章描述。</w:t>
            </w:r>
          </w:p>
        </w:tc>
      </w:tr>
      <w:tr w14:paraId="10FA3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38E04064">
            <w:pPr>
              <w:pStyle w:val="11"/>
              <w:jc w:val="both"/>
            </w:pPr>
            <w:r>
              <w:rPr>
                <w:rFonts w:ascii="仿宋_GB2312" w:hAnsi="仿宋_GB2312" w:eastAsia="仿宋_GB2312" w:cs="仿宋_GB2312"/>
              </w:rPr>
              <w:t>2</w:t>
            </w:r>
          </w:p>
        </w:tc>
        <w:tc>
          <w:tcPr>
            <w:tcW w:w="1835" w:type="dxa"/>
            <w:tcMar>
              <w:top w:w="0" w:type="dxa"/>
              <w:left w:w="105" w:type="dxa"/>
              <w:bottom w:w="0" w:type="dxa"/>
              <w:right w:w="105" w:type="dxa"/>
            </w:tcMar>
            <w:vAlign w:val="center"/>
          </w:tcPr>
          <w:p w14:paraId="25FF2BD6">
            <w:pPr>
              <w:pStyle w:val="11"/>
              <w:jc w:val="both"/>
            </w:pPr>
            <w:r>
              <w:rPr>
                <w:rFonts w:ascii="仿宋_GB2312" w:hAnsi="仿宋_GB2312" w:eastAsia="仿宋_GB2312" w:cs="仿宋_GB2312"/>
              </w:rPr>
              <w:t>框架协议采购分类</w:t>
            </w:r>
          </w:p>
        </w:tc>
        <w:tc>
          <w:tcPr>
            <w:tcW w:w="5717" w:type="dxa"/>
            <w:tcMar>
              <w:top w:w="0" w:type="dxa"/>
              <w:left w:w="105" w:type="dxa"/>
              <w:bottom w:w="0" w:type="dxa"/>
              <w:right w:w="105" w:type="dxa"/>
            </w:tcMar>
            <w:vAlign w:val="center"/>
          </w:tcPr>
          <w:p w14:paraId="7936B836">
            <w:pPr>
              <w:pStyle w:val="11"/>
              <w:jc w:val="both"/>
            </w:pPr>
            <w:r>
              <w:rPr>
                <w:rFonts w:ascii="仿宋_GB2312" w:hAnsi="仿宋_GB2312" w:eastAsia="仿宋_GB2312" w:cs="仿宋_GB2312"/>
              </w:rPr>
              <w:t>封闭式框架协议采购。</w:t>
            </w:r>
          </w:p>
        </w:tc>
      </w:tr>
      <w:tr w14:paraId="7B44D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47E70223">
            <w:pPr>
              <w:pStyle w:val="11"/>
              <w:jc w:val="both"/>
            </w:pPr>
            <w:r>
              <w:rPr>
                <w:rFonts w:ascii="仿宋_GB2312" w:hAnsi="仿宋_GB2312" w:eastAsia="仿宋_GB2312" w:cs="仿宋_GB2312"/>
              </w:rPr>
              <w:t>3</w:t>
            </w:r>
          </w:p>
        </w:tc>
        <w:tc>
          <w:tcPr>
            <w:tcW w:w="1835" w:type="dxa"/>
            <w:tcMar>
              <w:top w:w="0" w:type="dxa"/>
              <w:left w:w="105" w:type="dxa"/>
              <w:bottom w:w="0" w:type="dxa"/>
              <w:right w:w="105" w:type="dxa"/>
            </w:tcMar>
            <w:vAlign w:val="center"/>
          </w:tcPr>
          <w:p w14:paraId="1E666C40">
            <w:pPr>
              <w:pStyle w:val="11"/>
              <w:jc w:val="both"/>
            </w:pPr>
            <w:r>
              <w:rPr>
                <w:rFonts w:ascii="仿宋_GB2312" w:hAnsi="仿宋_GB2312" w:eastAsia="仿宋_GB2312" w:cs="仿宋_GB2312"/>
              </w:rPr>
              <w:t>框架协议期限</w:t>
            </w:r>
          </w:p>
        </w:tc>
        <w:tc>
          <w:tcPr>
            <w:tcW w:w="5717" w:type="dxa"/>
            <w:tcMar>
              <w:top w:w="0" w:type="dxa"/>
              <w:left w:w="105" w:type="dxa"/>
              <w:bottom w:w="0" w:type="dxa"/>
              <w:right w:w="105" w:type="dxa"/>
            </w:tcMar>
            <w:vAlign w:val="center"/>
          </w:tcPr>
          <w:p w14:paraId="094BC865">
            <w:pPr>
              <w:pStyle w:val="11"/>
              <w:jc w:val="both"/>
            </w:pPr>
            <w:r>
              <w:rPr>
                <w:rFonts w:ascii="仿宋_GB2312" w:hAnsi="仿宋_GB2312" w:eastAsia="仿宋_GB2312" w:cs="仿宋_GB2312"/>
              </w:rPr>
              <w:t>自深圳政府采购业务框架协议采购系统</w:t>
            </w:r>
            <w:r>
              <w:rPr>
                <w:rFonts w:hint="eastAsia" w:ascii="仿宋_GB2312" w:hAnsi="仿宋_GB2312" w:eastAsia="仿宋_GB2312" w:cs="仿宋_GB2312"/>
                <w:lang w:val="en-US" w:eastAsia="zh-CN"/>
              </w:rPr>
              <w:t>发布的相关通知</w:t>
            </w:r>
            <w:r>
              <w:rPr>
                <w:rFonts w:ascii="仿宋_GB2312" w:hAnsi="仿宋_GB2312" w:eastAsia="仿宋_GB2312" w:cs="仿宋_GB2312"/>
              </w:rPr>
              <w:t>之日起1年，如遇政策调整，以新政策为准。</w:t>
            </w:r>
          </w:p>
        </w:tc>
      </w:tr>
      <w:tr w14:paraId="459F7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554B240A">
            <w:pPr>
              <w:pStyle w:val="11"/>
              <w:jc w:val="both"/>
            </w:pPr>
            <w:r>
              <w:rPr>
                <w:rFonts w:ascii="仿宋_GB2312" w:hAnsi="仿宋_GB2312" w:eastAsia="仿宋_GB2312" w:cs="仿宋_GB2312"/>
              </w:rPr>
              <w:t>4</w:t>
            </w:r>
          </w:p>
        </w:tc>
        <w:tc>
          <w:tcPr>
            <w:tcW w:w="1835" w:type="dxa"/>
            <w:tcMar>
              <w:top w:w="0" w:type="dxa"/>
              <w:left w:w="105" w:type="dxa"/>
              <w:bottom w:w="0" w:type="dxa"/>
              <w:right w:w="105" w:type="dxa"/>
            </w:tcMar>
            <w:vAlign w:val="center"/>
          </w:tcPr>
          <w:p w14:paraId="42417DEF">
            <w:pPr>
              <w:pStyle w:val="11"/>
              <w:jc w:val="both"/>
            </w:pPr>
            <w:r>
              <w:rPr>
                <w:rFonts w:ascii="仿宋_GB2312" w:hAnsi="仿宋_GB2312" w:eastAsia="仿宋_GB2312" w:cs="仿宋_GB2312"/>
              </w:rPr>
              <w:t>价格扣除</w:t>
            </w:r>
          </w:p>
        </w:tc>
        <w:tc>
          <w:tcPr>
            <w:tcW w:w="5717" w:type="dxa"/>
            <w:tcMar>
              <w:top w:w="0" w:type="dxa"/>
              <w:left w:w="105" w:type="dxa"/>
              <w:bottom w:w="0" w:type="dxa"/>
              <w:right w:w="105" w:type="dxa"/>
            </w:tcMar>
            <w:vAlign w:val="center"/>
          </w:tcPr>
          <w:p w14:paraId="18D7E395">
            <w:pPr>
              <w:pStyle w:val="11"/>
              <w:jc w:val="both"/>
            </w:pPr>
            <w:r>
              <w:rPr>
                <w:rFonts w:ascii="仿宋_GB2312" w:hAnsi="仿宋_GB2312" w:eastAsia="仿宋_GB2312" w:cs="仿宋_GB2312"/>
              </w:rPr>
              <w:t>1.根据《政府采购促进中小企业发展管理办法》（财库〔2020〕46号）第九条和《关于进一步加大政府采购支持中小企业力度的通知》（财库〔2022〕19号）的规定。本项目给予小微企业（监狱企业、残疾人福利性单位视同小微企业）10%的价格扣除。</w:t>
            </w:r>
          </w:p>
          <w:p w14:paraId="5BB726D1">
            <w:pPr>
              <w:pStyle w:val="11"/>
              <w:jc w:val="both"/>
              <w:rPr>
                <w:rFonts w:hint="eastAsia" w:eastAsia="仿宋_GB2312"/>
                <w:lang w:eastAsia="zh-CN"/>
              </w:rPr>
            </w:pPr>
            <w:r>
              <w:rPr>
                <w:rFonts w:ascii="仿宋_GB2312" w:hAnsi="仿宋_GB2312" w:eastAsia="仿宋_GB2312" w:cs="仿宋_GB2312"/>
              </w:rPr>
              <w:t>2.根据《财政部发展改革委生态环境部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政策要求，响应产品为激光打印机的，对环保产品给予5%的价格扣除</w:t>
            </w:r>
            <w:r>
              <w:rPr>
                <w:rFonts w:hint="eastAsia" w:ascii="仿宋_GB2312" w:hAnsi="仿宋_GB2312" w:eastAsia="仿宋_GB2312" w:cs="仿宋_GB2312"/>
                <w:lang w:eastAsia="zh-CN"/>
              </w:rPr>
              <w:t>。</w:t>
            </w:r>
          </w:p>
          <w:p w14:paraId="5F917619">
            <w:pPr>
              <w:pStyle w:val="11"/>
              <w:jc w:val="both"/>
              <w:rPr>
                <w:rFonts w:ascii="仿宋_GB2312" w:hAnsi="仿宋_GB2312" w:eastAsia="仿宋_GB2312" w:cs="仿宋_GB2312"/>
              </w:rPr>
            </w:pPr>
            <w:r>
              <w:rPr>
                <w:rFonts w:ascii="仿宋_GB2312" w:hAnsi="仿宋_GB2312" w:eastAsia="仿宋_GB2312" w:cs="仿宋_GB2312"/>
              </w:rPr>
              <w:t>3.根据《商品包装政府采购需求标准（试行）》《快递包装政府采购需求标准（试行）》（财办库〔2020〕123号）的要求，对采用环保材料进行包装的产品给予1%的价格扣除。</w:t>
            </w:r>
          </w:p>
          <w:p w14:paraId="2213945F">
            <w:pPr>
              <w:pStyle w:val="11"/>
              <w:jc w:val="both"/>
              <w:rPr>
                <w:rFonts w:ascii="仿宋_GB2312" w:hAnsi="仿宋_GB2312" w:eastAsia="仿宋_GB2312" w:cs="仿宋_GB2312"/>
              </w:rPr>
            </w:pPr>
            <w:r>
              <w:rPr>
                <w:rFonts w:hint="eastAsia" w:ascii="仿宋_GB2312" w:hAnsi="仿宋_GB2312" w:eastAsia="仿宋_GB2312" w:cs="仿宋_GB2312"/>
                <w:lang w:val="en-US" w:eastAsia="zh-CN"/>
              </w:rPr>
              <w:t>4.根据</w:t>
            </w: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rPr>
              <w:t>国务院办公厅关于在政府采购中实施本国产品标准及相关政策的通知</w:t>
            </w: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rPr>
              <w:t>国办发〔2025〕34号</w:t>
            </w: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sz w:val="20"/>
                <w:szCs w:val="20"/>
                <w:lang w:eastAsia="zh-CN"/>
              </w:rPr>
              <w:t>、</w:t>
            </w: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rPr>
              <w:t>关于贯彻落实</w:t>
            </w:r>
            <w:r>
              <w:rPr>
                <w:rFonts w:hint="eastAsia" w:ascii="仿宋_GB2312" w:hAnsi="仿宋_GB2312" w:eastAsia="仿宋_GB2312" w:cs="仿宋_GB2312"/>
                <w:color w:val="auto"/>
                <w:sz w:val="20"/>
                <w:szCs w:val="20"/>
                <w:lang w:val="en-US" w:eastAsia="zh-CN"/>
              </w:rPr>
              <w:t>&lt;</w:t>
            </w:r>
            <w:r>
              <w:rPr>
                <w:rFonts w:hint="eastAsia" w:ascii="仿宋_GB2312" w:hAnsi="仿宋_GB2312" w:eastAsia="仿宋_GB2312" w:cs="仿宋_GB2312"/>
                <w:color w:val="auto"/>
                <w:sz w:val="20"/>
                <w:szCs w:val="20"/>
              </w:rPr>
              <w:t>国务院办公厅关于在政府采购中实施本国产品标准及相关政策的通知</w:t>
            </w:r>
            <w:r>
              <w:rPr>
                <w:rFonts w:hint="eastAsia" w:ascii="仿宋_GB2312" w:hAnsi="仿宋_GB2312" w:eastAsia="仿宋_GB2312" w:cs="仿宋_GB2312"/>
                <w:color w:val="auto"/>
                <w:sz w:val="20"/>
                <w:szCs w:val="20"/>
                <w:lang w:val="en-US" w:eastAsia="zh-CN"/>
              </w:rPr>
              <w:t>&gt;</w:t>
            </w:r>
            <w:r>
              <w:rPr>
                <w:rFonts w:hint="eastAsia" w:ascii="仿宋_GB2312" w:hAnsi="仿宋_GB2312" w:eastAsia="仿宋_GB2312" w:cs="仿宋_GB2312"/>
                <w:color w:val="auto"/>
                <w:sz w:val="20"/>
                <w:szCs w:val="20"/>
              </w:rPr>
              <w:t>的意见</w:t>
            </w: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rPr>
              <w:t>财库〔2025〕30号</w:t>
            </w:r>
            <w:r>
              <w:rPr>
                <w:rFonts w:hint="eastAsia" w:ascii="仿宋_GB2312" w:hAnsi="仿宋_GB2312" w:eastAsia="仿宋_GB2312" w:cs="仿宋_GB2312"/>
                <w:color w:val="auto"/>
                <w:sz w:val="20"/>
                <w:szCs w:val="20"/>
                <w:lang w:eastAsia="zh-CN"/>
              </w:rPr>
              <w:t>）</w:t>
            </w:r>
            <w:r>
              <w:rPr>
                <w:rFonts w:ascii="仿宋_GB2312" w:hAnsi="仿宋_GB2312" w:eastAsia="仿宋_GB2312" w:cs="仿宋_GB2312"/>
              </w:rPr>
              <w:t>的要求，</w:t>
            </w:r>
            <w:r>
              <w:rPr>
                <w:rFonts w:hint="eastAsia" w:ascii="仿宋_GB2312" w:hAnsi="仿宋_GB2312" w:eastAsia="仿宋_GB2312" w:cs="仿宋_GB2312"/>
                <w:lang w:val="en-US" w:eastAsia="zh-CN"/>
              </w:rPr>
              <w:t>对</w:t>
            </w:r>
            <w:r>
              <w:rPr>
                <w:rFonts w:hint="eastAsia" w:ascii="仿宋_GB2312" w:hAnsi="仿宋_GB2312" w:eastAsia="仿宋_GB2312" w:cs="仿宋_GB2312"/>
                <w:b w:val="0"/>
                <w:i w:val="0"/>
                <w:iCs w:val="0"/>
                <w:caps w:val="0"/>
                <w:spacing w:val="0"/>
                <w:sz w:val="20"/>
                <w:szCs w:val="20"/>
                <w:shd w:val="clear"/>
              </w:rPr>
              <w:t>符合本国产品标准</w:t>
            </w:r>
            <w:r>
              <w:rPr>
                <w:rFonts w:hint="eastAsia" w:ascii="仿宋_GB2312" w:hAnsi="仿宋_GB2312" w:eastAsia="仿宋_GB2312" w:cs="仿宋_GB2312"/>
                <w:b w:val="0"/>
                <w:i w:val="0"/>
                <w:iCs w:val="0"/>
                <w:caps w:val="0"/>
                <w:spacing w:val="0"/>
                <w:sz w:val="20"/>
                <w:szCs w:val="20"/>
                <w:shd w:val="clear"/>
                <w:lang w:val="en-US" w:eastAsia="zh-CN"/>
              </w:rPr>
              <w:t>的产品给予20%的价格扣除。</w:t>
            </w:r>
          </w:p>
          <w:p w14:paraId="08250953">
            <w:pPr>
              <w:pStyle w:val="11"/>
              <w:jc w:val="both"/>
            </w:pPr>
            <w:r>
              <w:rPr>
                <w:rFonts w:ascii="仿宋_GB2312" w:hAnsi="仿宋_GB2312" w:eastAsia="仿宋_GB2312" w:cs="仿宋_GB2312"/>
              </w:rPr>
              <w:t>以上具体扣除比例和规则详见第五章。</w:t>
            </w:r>
          </w:p>
        </w:tc>
      </w:tr>
      <w:tr w14:paraId="09233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0FBEADE3">
            <w:pPr>
              <w:pStyle w:val="11"/>
              <w:jc w:val="both"/>
            </w:pPr>
            <w:r>
              <w:rPr>
                <w:rFonts w:ascii="仿宋_GB2312" w:hAnsi="仿宋_GB2312" w:eastAsia="仿宋_GB2312" w:cs="仿宋_GB2312"/>
              </w:rPr>
              <w:t>5</w:t>
            </w:r>
          </w:p>
        </w:tc>
        <w:tc>
          <w:tcPr>
            <w:tcW w:w="1835" w:type="dxa"/>
            <w:tcMar>
              <w:top w:w="0" w:type="dxa"/>
              <w:left w:w="105" w:type="dxa"/>
              <w:bottom w:w="0" w:type="dxa"/>
              <w:right w:w="105" w:type="dxa"/>
            </w:tcMar>
            <w:vAlign w:val="center"/>
          </w:tcPr>
          <w:p w14:paraId="18549213">
            <w:pPr>
              <w:pStyle w:val="11"/>
              <w:jc w:val="both"/>
            </w:pPr>
            <w:r>
              <w:rPr>
                <w:rFonts w:ascii="仿宋_GB2312" w:hAnsi="仿宋_GB2312" w:eastAsia="仿宋_GB2312" w:cs="仿宋_GB2312"/>
              </w:rPr>
              <w:t>充分、公平竞争保障措施</w:t>
            </w:r>
          </w:p>
        </w:tc>
        <w:tc>
          <w:tcPr>
            <w:tcW w:w="5717" w:type="dxa"/>
            <w:tcMar>
              <w:top w:w="0" w:type="dxa"/>
              <w:left w:w="105" w:type="dxa"/>
              <w:bottom w:w="0" w:type="dxa"/>
              <w:right w:w="105" w:type="dxa"/>
            </w:tcMar>
            <w:vAlign w:val="center"/>
          </w:tcPr>
          <w:p w14:paraId="5257296E">
            <w:pPr>
              <w:pStyle w:val="11"/>
              <w:jc w:val="both"/>
            </w:pPr>
            <w:r>
              <w:rPr>
                <w:rFonts w:ascii="仿宋_GB2312" w:hAnsi="仿宋_GB2312" w:eastAsia="仿宋_GB2312" w:cs="仿宋_GB2312"/>
              </w:rPr>
              <w:t>供应商</w:t>
            </w:r>
            <w:r>
              <w:rPr>
                <w:rFonts w:hint="eastAsia" w:ascii="仿宋_GB2312" w:hAnsi="仿宋_GB2312" w:eastAsia="仿宋_GB2312" w:cs="仿宋_GB2312"/>
                <w:lang w:eastAsia="zh-CN"/>
              </w:rPr>
              <w:t>投标（响应）</w:t>
            </w:r>
            <w:r>
              <w:rPr>
                <w:rFonts w:ascii="仿宋_GB2312" w:hAnsi="仿宋_GB2312" w:eastAsia="仿宋_GB2312" w:cs="仿宋_GB2312"/>
              </w:rPr>
              <w:t>的货物的技术、商务等条件不得低于采购需求，货物应当是市场上已有销售的规格型号，不得是专供政府采购的产品。对货物项目每个采购包只能用一个产品进行</w:t>
            </w:r>
            <w:r>
              <w:rPr>
                <w:rFonts w:hint="eastAsia" w:ascii="仿宋_GB2312" w:hAnsi="仿宋_GB2312" w:eastAsia="仿宋_GB2312" w:cs="仿宋_GB2312"/>
                <w:lang w:eastAsia="zh-CN"/>
              </w:rPr>
              <w:t>投标（响应）</w:t>
            </w:r>
            <w:r>
              <w:rPr>
                <w:rFonts w:ascii="仿宋_GB2312" w:hAnsi="仿宋_GB2312" w:eastAsia="仿宋_GB2312" w:cs="仿宋_GB2312"/>
              </w:rPr>
              <w:t>，征集文件有要求的，应当同时对产品的选配件、耗材进行报价。</w:t>
            </w:r>
          </w:p>
        </w:tc>
      </w:tr>
      <w:tr w14:paraId="51FEA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shd w:val="clear" w:color="auto" w:fill="auto"/>
            <w:tcMar>
              <w:top w:w="0" w:type="dxa"/>
              <w:left w:w="105" w:type="dxa"/>
              <w:bottom w:w="0" w:type="dxa"/>
              <w:right w:w="105" w:type="dxa"/>
            </w:tcMar>
            <w:vAlign w:val="center"/>
          </w:tcPr>
          <w:p w14:paraId="63C6A70F">
            <w:pPr>
              <w:pStyle w:val="11"/>
              <w:jc w:val="both"/>
              <w:rPr>
                <w:rFonts w:hint="eastAsia" w:asciiTheme="minorHAnsi" w:hAnsiTheme="minorHAnsi" w:eastAsiaTheme="minorEastAsia" w:cstheme="minorBidi"/>
                <w:lang w:val="en-US" w:eastAsia="zh-CN"/>
              </w:rPr>
            </w:pPr>
            <w:r>
              <w:rPr>
                <w:rFonts w:hint="eastAsia" w:ascii="仿宋_GB2312" w:hAnsi="仿宋_GB2312" w:eastAsia="仿宋_GB2312" w:cs="仿宋_GB2312"/>
                <w:lang w:val="en-US" w:eastAsia="zh-CN"/>
              </w:rPr>
              <w:t>6</w:t>
            </w:r>
          </w:p>
        </w:tc>
        <w:tc>
          <w:tcPr>
            <w:tcW w:w="1835" w:type="dxa"/>
            <w:shd w:val="clear" w:color="auto" w:fill="auto"/>
            <w:tcMar>
              <w:top w:w="0" w:type="dxa"/>
              <w:left w:w="105" w:type="dxa"/>
              <w:bottom w:w="0" w:type="dxa"/>
              <w:right w:w="105" w:type="dxa"/>
            </w:tcMar>
            <w:vAlign w:val="center"/>
          </w:tcPr>
          <w:p w14:paraId="42A1468D">
            <w:pPr>
              <w:pStyle w:val="11"/>
              <w:jc w:val="both"/>
              <w:rPr>
                <w:rFonts w:hint="eastAsia" w:asciiTheme="minorHAnsi" w:hAnsiTheme="minorHAnsi" w:eastAsiaTheme="minorEastAsia" w:cstheme="minorBidi"/>
                <w:lang w:val="en-US" w:eastAsia="zh-Hans"/>
              </w:rPr>
            </w:pPr>
            <w:r>
              <w:rPr>
                <w:rFonts w:ascii="仿宋_GB2312" w:hAnsi="仿宋_GB2312" w:eastAsia="仿宋_GB2312" w:cs="仿宋_GB2312"/>
              </w:rPr>
              <w:t>不正当竞争预防措施</w:t>
            </w:r>
          </w:p>
        </w:tc>
        <w:tc>
          <w:tcPr>
            <w:tcW w:w="5717" w:type="dxa"/>
            <w:shd w:val="clear" w:color="auto" w:fill="auto"/>
            <w:tcMar>
              <w:top w:w="0" w:type="dxa"/>
              <w:left w:w="105" w:type="dxa"/>
              <w:bottom w:w="0" w:type="dxa"/>
              <w:right w:w="105" w:type="dxa"/>
            </w:tcMar>
            <w:vAlign w:val="center"/>
          </w:tcPr>
          <w:p w14:paraId="13D8B62E">
            <w:pPr>
              <w:pStyle w:val="11"/>
              <w:jc w:val="both"/>
              <w:rPr>
                <w:rFonts w:hint="eastAsia" w:asciiTheme="minorHAnsi" w:hAnsiTheme="minorHAnsi" w:eastAsiaTheme="minorEastAsia" w:cstheme="minorBidi"/>
                <w:lang w:val="en-US" w:eastAsia="zh-Hans"/>
              </w:rPr>
            </w:pPr>
            <w:r>
              <w:rPr>
                <w:rFonts w:ascii="仿宋_GB2312" w:hAnsi="仿宋_GB2312" w:eastAsia="仿宋_GB2312" w:cs="仿宋_GB2312"/>
              </w:rPr>
              <w:t>评审委员会认为供应商的报价明显低于其他通过符合性审查供应商的报价，有可能影响产品质量或者不能诚信履约的，应当要求其在评审现场合理的时间内提供书面说明，必要时提交相关证明材料；在此情况下，供应商仍不能证明其报价合理性的（评审委员会成员对供应商提供的说明材料判断不一致的，按照“少数服从多数”的原则确定评审委员会的意见）</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按符合性审查不通过处理。</w:t>
            </w:r>
          </w:p>
        </w:tc>
      </w:tr>
      <w:tr w14:paraId="52544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579D1541">
            <w:pPr>
              <w:pStyle w:val="11"/>
              <w:jc w:val="both"/>
              <w:rPr>
                <w:rFonts w:hint="eastAsia" w:eastAsiaTheme="minorEastAsia"/>
                <w:lang w:eastAsia="zh-CN"/>
              </w:rPr>
            </w:pPr>
            <w:r>
              <w:rPr>
                <w:rFonts w:hint="eastAsia" w:ascii="仿宋_GB2312" w:hAnsi="仿宋_GB2312" w:eastAsia="仿宋_GB2312" w:cs="仿宋_GB2312"/>
                <w:lang w:val="en-US" w:eastAsia="zh-CN"/>
              </w:rPr>
              <w:t>7</w:t>
            </w:r>
          </w:p>
        </w:tc>
        <w:tc>
          <w:tcPr>
            <w:tcW w:w="1835" w:type="dxa"/>
            <w:tcMar>
              <w:top w:w="0" w:type="dxa"/>
              <w:left w:w="105" w:type="dxa"/>
              <w:bottom w:w="0" w:type="dxa"/>
              <w:right w:w="105" w:type="dxa"/>
            </w:tcMar>
            <w:vAlign w:val="center"/>
          </w:tcPr>
          <w:p w14:paraId="042E61A7">
            <w:pPr>
              <w:pStyle w:val="11"/>
              <w:jc w:val="both"/>
            </w:pPr>
            <w:r>
              <w:rPr>
                <w:rFonts w:ascii="仿宋_GB2312" w:hAnsi="仿宋_GB2312" w:eastAsia="仿宋_GB2312" w:cs="仿宋_GB2312"/>
              </w:rPr>
              <w:t>采购代理机构代理费用的收取标准和方式</w:t>
            </w:r>
          </w:p>
        </w:tc>
        <w:tc>
          <w:tcPr>
            <w:tcW w:w="5717" w:type="dxa"/>
            <w:tcMar>
              <w:top w:w="0" w:type="dxa"/>
              <w:left w:w="105" w:type="dxa"/>
              <w:bottom w:w="0" w:type="dxa"/>
              <w:right w:w="105" w:type="dxa"/>
            </w:tcMar>
            <w:vAlign w:val="center"/>
          </w:tcPr>
          <w:p w14:paraId="6A9A215D">
            <w:pPr>
              <w:pStyle w:val="11"/>
              <w:jc w:val="both"/>
            </w:pPr>
            <w:r>
              <w:rPr>
                <w:rFonts w:ascii="仿宋_GB2312" w:hAnsi="仿宋_GB2312" w:eastAsia="仿宋_GB2312" w:cs="仿宋_GB2312"/>
              </w:rPr>
              <w:t>本项目不向入围供应商收取代理服务费。</w:t>
            </w:r>
          </w:p>
          <w:p w14:paraId="28F48527">
            <w:pPr>
              <w:pStyle w:val="11"/>
              <w:jc w:val="both"/>
            </w:pPr>
            <w:r>
              <w:rPr>
                <w:rFonts w:ascii="仿宋_GB2312" w:hAnsi="仿宋_GB2312" w:eastAsia="仿宋_GB2312" w:cs="仿宋_GB2312"/>
              </w:rPr>
              <w:t>供应商如因参与本项目采购活动产生的相关费用，应自行承担，无论采购活动过程中的做法和结果如何，深圳公共资源交易中心在任何情况下均无义务和责任承担上述费用。</w:t>
            </w:r>
          </w:p>
        </w:tc>
      </w:tr>
      <w:tr w14:paraId="2FFC8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73B4E50B">
            <w:pPr>
              <w:pStyle w:val="11"/>
              <w:jc w:val="both"/>
              <w:rPr>
                <w:rFonts w:hint="eastAsia" w:eastAsiaTheme="minorEastAsia"/>
                <w:lang w:eastAsia="zh-CN"/>
              </w:rPr>
            </w:pPr>
            <w:r>
              <w:rPr>
                <w:rFonts w:hint="eastAsia" w:ascii="仿宋_GB2312" w:hAnsi="仿宋_GB2312" w:eastAsia="仿宋_GB2312" w:cs="仿宋_GB2312"/>
                <w:lang w:val="en-US" w:eastAsia="zh-CN"/>
              </w:rPr>
              <w:t>8</w:t>
            </w:r>
          </w:p>
        </w:tc>
        <w:tc>
          <w:tcPr>
            <w:tcW w:w="1835" w:type="dxa"/>
            <w:tcMar>
              <w:top w:w="0" w:type="dxa"/>
              <w:left w:w="105" w:type="dxa"/>
              <w:bottom w:w="0" w:type="dxa"/>
              <w:right w:w="105" w:type="dxa"/>
            </w:tcMar>
            <w:vAlign w:val="center"/>
          </w:tcPr>
          <w:p w14:paraId="0A4482CF">
            <w:pPr>
              <w:pStyle w:val="11"/>
              <w:jc w:val="both"/>
            </w:pPr>
            <w:r>
              <w:rPr>
                <w:rFonts w:hint="eastAsia" w:ascii="仿宋_GB2312" w:hAnsi="仿宋_GB2312" w:eastAsia="仿宋_GB2312" w:cs="仿宋_GB2312"/>
                <w:lang w:eastAsia="zh-CN"/>
              </w:rPr>
              <w:t>投标（响应）</w:t>
            </w:r>
            <w:r>
              <w:rPr>
                <w:rFonts w:ascii="仿宋_GB2312" w:hAnsi="仿宋_GB2312" w:eastAsia="仿宋_GB2312" w:cs="仿宋_GB2312"/>
              </w:rPr>
              <w:t>有效期</w:t>
            </w:r>
          </w:p>
        </w:tc>
        <w:tc>
          <w:tcPr>
            <w:tcW w:w="5717" w:type="dxa"/>
            <w:tcMar>
              <w:top w:w="0" w:type="dxa"/>
              <w:left w:w="105" w:type="dxa"/>
              <w:bottom w:w="0" w:type="dxa"/>
              <w:right w:w="105" w:type="dxa"/>
            </w:tcMar>
            <w:vAlign w:val="center"/>
          </w:tcPr>
          <w:p w14:paraId="6C37681D">
            <w:pPr>
              <w:pStyle w:val="11"/>
              <w:jc w:val="both"/>
            </w:pPr>
            <w:r>
              <w:rPr>
                <w:rFonts w:ascii="仿宋_GB2312" w:hAnsi="仿宋_GB2312" w:eastAsia="仿宋_GB2312" w:cs="仿宋_GB2312"/>
              </w:rPr>
              <w:t>提交</w:t>
            </w:r>
            <w:r>
              <w:rPr>
                <w:rFonts w:hint="eastAsia" w:ascii="仿宋_GB2312" w:hAnsi="仿宋_GB2312" w:eastAsia="仿宋_GB2312" w:cs="仿宋_GB2312"/>
                <w:lang w:eastAsia="zh-CN"/>
              </w:rPr>
              <w:t>投标（响应）</w:t>
            </w:r>
            <w:r>
              <w:rPr>
                <w:rFonts w:ascii="仿宋_GB2312" w:hAnsi="仿宋_GB2312" w:eastAsia="仿宋_GB2312" w:cs="仿宋_GB2312"/>
              </w:rPr>
              <w:t>文件的截止之日起不少于90 天。</w:t>
            </w:r>
          </w:p>
        </w:tc>
      </w:tr>
      <w:tr w14:paraId="65B6C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2D924EBE">
            <w:pPr>
              <w:pStyle w:val="11"/>
              <w:jc w:val="both"/>
              <w:rPr>
                <w:rFonts w:hint="eastAsia" w:eastAsiaTheme="minorEastAsia"/>
                <w:lang w:eastAsia="zh-CN"/>
              </w:rPr>
            </w:pPr>
            <w:r>
              <w:rPr>
                <w:rFonts w:hint="eastAsia" w:ascii="仿宋_GB2312" w:hAnsi="仿宋_GB2312" w:eastAsia="仿宋_GB2312" w:cs="仿宋_GB2312"/>
                <w:lang w:val="en-US" w:eastAsia="zh-CN"/>
              </w:rPr>
              <w:t>9</w:t>
            </w:r>
          </w:p>
        </w:tc>
        <w:tc>
          <w:tcPr>
            <w:tcW w:w="1835" w:type="dxa"/>
            <w:tcMar>
              <w:top w:w="0" w:type="dxa"/>
              <w:left w:w="105" w:type="dxa"/>
              <w:bottom w:w="0" w:type="dxa"/>
              <w:right w:w="105" w:type="dxa"/>
            </w:tcMar>
            <w:vAlign w:val="center"/>
          </w:tcPr>
          <w:p w14:paraId="47A4D3E9">
            <w:pPr>
              <w:pStyle w:val="11"/>
              <w:jc w:val="both"/>
            </w:pPr>
            <w:r>
              <w:rPr>
                <w:rFonts w:ascii="仿宋_GB2312" w:hAnsi="仿宋_GB2312" w:eastAsia="仿宋_GB2312" w:cs="仿宋_GB2312"/>
              </w:rPr>
              <w:t>结果公告渠道</w:t>
            </w:r>
          </w:p>
        </w:tc>
        <w:tc>
          <w:tcPr>
            <w:tcW w:w="5717" w:type="dxa"/>
            <w:tcMar>
              <w:top w:w="0" w:type="dxa"/>
              <w:left w:w="105" w:type="dxa"/>
              <w:bottom w:w="0" w:type="dxa"/>
              <w:right w:w="105" w:type="dxa"/>
            </w:tcMar>
            <w:vAlign w:val="center"/>
          </w:tcPr>
          <w:p w14:paraId="328758D7">
            <w:pPr>
              <w:pStyle w:val="11"/>
              <w:jc w:val="both"/>
            </w:pPr>
            <w:r>
              <w:rPr>
                <w:rFonts w:ascii="仿宋_GB2312" w:hAnsi="仿宋_GB2312" w:eastAsia="仿宋_GB2312" w:cs="仿宋_GB2312"/>
              </w:rPr>
              <w:t>第一阶段发布渠道、第二阶段发布渠道：深圳公共资源交易网、深圳政府采购业务框架协议采购系统。</w:t>
            </w:r>
          </w:p>
        </w:tc>
      </w:tr>
      <w:tr w14:paraId="3831D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70C92F75">
            <w:pPr>
              <w:pStyle w:val="11"/>
              <w:jc w:val="both"/>
              <w:rPr>
                <w:rFonts w:hint="default" w:eastAsiaTheme="minorEastAsia"/>
                <w:lang w:val="en-US" w:eastAsia="zh-CN"/>
              </w:rPr>
            </w:pPr>
            <w:r>
              <w:rPr>
                <w:rFonts w:hint="eastAsia" w:ascii="仿宋_GB2312" w:hAnsi="仿宋_GB2312" w:eastAsia="仿宋_GB2312" w:cs="仿宋_GB2312"/>
                <w:lang w:val="en-US" w:eastAsia="zh-CN"/>
              </w:rPr>
              <w:t>10</w:t>
            </w:r>
          </w:p>
        </w:tc>
        <w:tc>
          <w:tcPr>
            <w:tcW w:w="1835" w:type="dxa"/>
            <w:tcMar>
              <w:top w:w="0" w:type="dxa"/>
              <w:left w:w="105" w:type="dxa"/>
              <w:bottom w:w="0" w:type="dxa"/>
              <w:right w:w="105" w:type="dxa"/>
            </w:tcMar>
            <w:vAlign w:val="center"/>
          </w:tcPr>
          <w:p w14:paraId="42FCC41B">
            <w:pPr>
              <w:pStyle w:val="11"/>
              <w:jc w:val="both"/>
            </w:pPr>
            <w:r>
              <w:rPr>
                <w:rFonts w:ascii="仿宋_GB2312" w:hAnsi="仿宋_GB2312" w:eastAsia="仿宋_GB2312" w:cs="仿宋_GB2312"/>
              </w:rPr>
              <w:t>入围通知书</w:t>
            </w:r>
          </w:p>
        </w:tc>
        <w:tc>
          <w:tcPr>
            <w:tcW w:w="5717" w:type="dxa"/>
            <w:tcMar>
              <w:top w:w="0" w:type="dxa"/>
              <w:left w:w="105" w:type="dxa"/>
              <w:bottom w:w="0" w:type="dxa"/>
              <w:right w:w="105" w:type="dxa"/>
            </w:tcMar>
            <w:vAlign w:val="center"/>
          </w:tcPr>
          <w:p w14:paraId="3362EF29">
            <w:pPr>
              <w:pStyle w:val="11"/>
              <w:jc w:val="both"/>
            </w:pPr>
            <w:r>
              <w:rPr>
                <w:rFonts w:ascii="仿宋_GB2312" w:hAnsi="仿宋_GB2312" w:eastAsia="仿宋_GB2312" w:cs="仿宋_GB2312"/>
              </w:rPr>
              <w:t>入围结果公告后，征集人通过框架协议采购系统向入围供应商发出入围通知书；入围供应商通过框架协议采购系统获取入围通知书。</w:t>
            </w:r>
          </w:p>
        </w:tc>
      </w:tr>
      <w:tr w14:paraId="74C5D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704D7743">
            <w:pPr>
              <w:pStyle w:val="11"/>
              <w:jc w:val="both"/>
              <w:rPr>
                <w:rFonts w:hint="eastAsia" w:eastAsia="仿宋_GB2312"/>
                <w:lang w:eastAsia="zh-CN"/>
              </w:rPr>
            </w:pPr>
            <w:r>
              <w:rPr>
                <w:rFonts w:ascii="仿宋_GB2312" w:hAnsi="仿宋_GB2312" w:eastAsia="仿宋_GB2312" w:cs="仿宋_GB2312"/>
              </w:rPr>
              <w:t>1</w:t>
            </w:r>
            <w:r>
              <w:rPr>
                <w:rFonts w:hint="eastAsia" w:ascii="仿宋_GB2312" w:hAnsi="仿宋_GB2312" w:eastAsia="仿宋_GB2312" w:cs="仿宋_GB2312"/>
                <w:lang w:val="en-US" w:eastAsia="zh-CN"/>
              </w:rPr>
              <w:t>1</w:t>
            </w:r>
          </w:p>
        </w:tc>
        <w:tc>
          <w:tcPr>
            <w:tcW w:w="1835" w:type="dxa"/>
            <w:tcMar>
              <w:top w:w="0" w:type="dxa"/>
              <w:left w:w="105" w:type="dxa"/>
              <w:bottom w:w="0" w:type="dxa"/>
              <w:right w:w="105" w:type="dxa"/>
            </w:tcMar>
            <w:vAlign w:val="center"/>
          </w:tcPr>
          <w:p w14:paraId="704754B0">
            <w:pPr>
              <w:pStyle w:val="11"/>
              <w:jc w:val="both"/>
            </w:pPr>
            <w:r>
              <w:rPr>
                <w:rFonts w:hint="eastAsia" w:ascii="仿宋_GB2312" w:hAnsi="仿宋_GB2312" w:eastAsia="仿宋_GB2312" w:cs="仿宋_GB2312"/>
                <w:lang w:val="en-US" w:eastAsia="zh-CN"/>
              </w:rPr>
              <w:t>适用本项目框架协议的采购人或者服务对象范围</w:t>
            </w:r>
          </w:p>
        </w:tc>
        <w:tc>
          <w:tcPr>
            <w:tcW w:w="5717" w:type="dxa"/>
            <w:tcMar>
              <w:top w:w="0" w:type="dxa"/>
              <w:left w:w="105" w:type="dxa"/>
              <w:bottom w:w="0" w:type="dxa"/>
              <w:right w:w="105" w:type="dxa"/>
            </w:tcMar>
            <w:vAlign w:val="center"/>
          </w:tcPr>
          <w:tbl>
            <w:tblPr>
              <w:tblStyle w:val="7"/>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786"/>
              <w:gridCol w:w="2565"/>
              <w:gridCol w:w="2028"/>
            </w:tblGrid>
            <w:tr w14:paraId="43A5F82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8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51E65A33">
                  <w:pPr>
                    <w:pStyle w:val="11"/>
                    <w:jc w:val="both"/>
                    <w:rPr>
                      <w:rFonts w:ascii="仿宋_GB2312" w:hAnsi="仿宋_GB2312" w:eastAsia="仿宋_GB2312" w:cs="仿宋_GB2312"/>
                    </w:rPr>
                  </w:pPr>
                  <w:r>
                    <w:rPr>
                      <w:rFonts w:ascii="仿宋_GB2312" w:hAnsi="仿宋_GB2312" w:eastAsia="仿宋_GB2312" w:cs="仿宋_GB2312"/>
                    </w:rPr>
                    <w:t>序号</w:t>
                  </w:r>
                </w:p>
              </w:tc>
              <w:tc>
                <w:tcPr>
                  <w:tcW w:w="256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456AACA">
                  <w:pPr>
                    <w:pStyle w:val="11"/>
                    <w:jc w:val="both"/>
                    <w:rPr>
                      <w:rFonts w:ascii="仿宋_GB2312" w:hAnsi="仿宋_GB2312" w:eastAsia="仿宋_GB2312" w:cs="仿宋_GB2312"/>
                    </w:rPr>
                  </w:pPr>
                  <w:r>
                    <w:rPr>
                      <w:rFonts w:ascii="仿宋_GB2312" w:hAnsi="仿宋_GB2312" w:eastAsia="仿宋_GB2312" w:cs="仿宋_GB2312"/>
                    </w:rPr>
                    <w:t>行政区划/采购单位</w:t>
                  </w:r>
                </w:p>
              </w:tc>
              <w:tc>
                <w:tcPr>
                  <w:tcW w:w="202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68E71A2">
                  <w:pPr>
                    <w:pStyle w:val="11"/>
                    <w:jc w:val="both"/>
                    <w:rPr>
                      <w:rFonts w:ascii="仿宋_GB2312" w:hAnsi="仿宋_GB2312" w:eastAsia="仿宋_GB2312" w:cs="仿宋_GB2312"/>
                    </w:rPr>
                  </w:pPr>
                  <w:r>
                    <w:rPr>
                      <w:rFonts w:ascii="仿宋_GB2312" w:hAnsi="仿宋_GB2312" w:eastAsia="仿宋_GB2312" w:cs="仿宋_GB2312"/>
                    </w:rPr>
                    <w:t>类型</w:t>
                  </w:r>
                </w:p>
              </w:tc>
            </w:tr>
            <w:tr w14:paraId="351D9C5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8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E32C0D0">
                  <w:pPr>
                    <w:pStyle w:val="11"/>
                    <w:jc w:val="both"/>
                    <w:rPr>
                      <w:rFonts w:ascii="仿宋_GB2312" w:hAnsi="仿宋_GB2312" w:eastAsia="仿宋_GB2312" w:cs="仿宋_GB2312"/>
                    </w:rPr>
                  </w:pPr>
                  <w:r>
                    <w:rPr>
                      <w:rFonts w:ascii="仿宋_GB2312" w:hAnsi="仿宋_GB2312" w:eastAsia="仿宋_GB2312" w:cs="仿宋_GB2312"/>
                    </w:rPr>
                    <w:t>1</w:t>
                  </w:r>
                </w:p>
              </w:tc>
              <w:tc>
                <w:tcPr>
                  <w:tcW w:w="256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795291">
                  <w:pPr>
                    <w:pStyle w:val="11"/>
                    <w:jc w:val="both"/>
                    <w:rPr>
                      <w:rFonts w:ascii="仿宋_GB2312" w:hAnsi="仿宋_GB2312" w:eastAsia="仿宋_GB2312" w:cs="仿宋_GB2312"/>
                    </w:rPr>
                  </w:pPr>
                  <w:r>
                    <w:rPr>
                      <w:rFonts w:ascii="仿宋_GB2312" w:hAnsi="仿宋_GB2312" w:eastAsia="仿宋_GB2312" w:cs="仿宋_GB2312"/>
                    </w:rPr>
                    <w:t>深圳市所属采购单位</w:t>
                  </w:r>
                </w:p>
              </w:tc>
              <w:tc>
                <w:tcPr>
                  <w:tcW w:w="202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4D8FCB">
                  <w:pPr>
                    <w:pStyle w:val="11"/>
                    <w:jc w:val="both"/>
                    <w:rPr>
                      <w:rFonts w:ascii="仿宋_GB2312" w:hAnsi="仿宋_GB2312" w:eastAsia="仿宋_GB2312" w:cs="仿宋_GB2312"/>
                    </w:rPr>
                  </w:pPr>
                  <w:r>
                    <w:rPr>
                      <w:rFonts w:ascii="仿宋_GB2312" w:hAnsi="仿宋_GB2312" w:eastAsia="仿宋_GB2312" w:cs="仿宋_GB2312"/>
                    </w:rPr>
                    <w:t>行政区划</w:t>
                  </w:r>
                </w:p>
              </w:tc>
            </w:tr>
          </w:tbl>
          <w:p w14:paraId="0BA91947">
            <w:pPr>
              <w:pStyle w:val="11"/>
              <w:jc w:val="both"/>
            </w:pPr>
          </w:p>
        </w:tc>
      </w:tr>
      <w:tr w14:paraId="1BE12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0EB2117E">
            <w:pPr>
              <w:pStyle w:val="11"/>
              <w:jc w:val="both"/>
              <w:rPr>
                <w:rFonts w:hint="eastAsia" w:eastAsia="仿宋_GB2312"/>
                <w:lang w:eastAsia="zh-CN"/>
              </w:rPr>
            </w:pPr>
            <w:r>
              <w:rPr>
                <w:rFonts w:ascii="仿宋_GB2312" w:hAnsi="仿宋_GB2312" w:eastAsia="仿宋_GB2312" w:cs="仿宋_GB2312"/>
              </w:rPr>
              <w:t>1</w:t>
            </w:r>
            <w:r>
              <w:rPr>
                <w:rFonts w:hint="eastAsia" w:ascii="仿宋_GB2312" w:hAnsi="仿宋_GB2312" w:eastAsia="仿宋_GB2312" w:cs="仿宋_GB2312"/>
                <w:lang w:val="en-US" w:eastAsia="zh-CN"/>
              </w:rPr>
              <w:t>2</w:t>
            </w:r>
          </w:p>
        </w:tc>
        <w:tc>
          <w:tcPr>
            <w:tcW w:w="1835" w:type="dxa"/>
            <w:tcMar>
              <w:top w:w="0" w:type="dxa"/>
              <w:left w:w="105" w:type="dxa"/>
              <w:bottom w:w="0" w:type="dxa"/>
              <w:right w:w="105" w:type="dxa"/>
            </w:tcMar>
            <w:vAlign w:val="center"/>
          </w:tcPr>
          <w:p w14:paraId="65C58A81">
            <w:pPr>
              <w:pStyle w:val="11"/>
              <w:jc w:val="both"/>
            </w:pPr>
            <w:r>
              <w:rPr>
                <w:rFonts w:ascii="仿宋_GB2312" w:hAnsi="仿宋_GB2312" w:eastAsia="仿宋_GB2312" w:cs="仿宋_GB2312"/>
              </w:rPr>
              <w:t>框架协议签订</w:t>
            </w:r>
          </w:p>
        </w:tc>
        <w:tc>
          <w:tcPr>
            <w:tcW w:w="5717" w:type="dxa"/>
            <w:tcMar>
              <w:top w:w="0" w:type="dxa"/>
              <w:left w:w="105" w:type="dxa"/>
              <w:bottom w:w="0" w:type="dxa"/>
              <w:right w:w="105" w:type="dxa"/>
            </w:tcMar>
            <w:vAlign w:val="center"/>
          </w:tcPr>
          <w:p w14:paraId="269566F1">
            <w:pPr>
              <w:pStyle w:val="11"/>
              <w:jc w:val="both"/>
            </w:pPr>
            <w:r>
              <w:rPr>
                <w:rFonts w:ascii="仿宋_GB2312" w:hAnsi="仿宋_GB2312" w:eastAsia="仿宋_GB2312" w:cs="仿宋_GB2312"/>
              </w:rPr>
              <w:t>征集人应在入围通知书发出之日起30日内与入围供应商签订框架协议，并在框架协议签订后7个工作日内，将框架协议报本级财政部门备案。</w:t>
            </w:r>
          </w:p>
          <w:p w14:paraId="1F394BD2">
            <w:pPr>
              <w:pStyle w:val="11"/>
              <w:jc w:val="both"/>
            </w:pPr>
            <w:r>
              <w:rPr>
                <w:rFonts w:ascii="仿宋_GB2312" w:hAnsi="仿宋_GB2312" w:eastAsia="仿宋_GB2312" w:cs="仿宋_GB2312"/>
              </w:rPr>
              <w:t>征集人和入围供应商签订的框架协议不得对征集文件确定的事项以及入围供应商的</w:t>
            </w:r>
            <w:r>
              <w:rPr>
                <w:rFonts w:hint="eastAsia" w:ascii="仿宋_GB2312" w:hAnsi="仿宋_GB2312" w:eastAsia="仿宋_GB2312" w:cs="仿宋_GB2312"/>
                <w:lang w:eastAsia="zh-CN"/>
              </w:rPr>
              <w:t>投标（响应）</w:t>
            </w:r>
            <w:r>
              <w:rPr>
                <w:rFonts w:ascii="仿宋_GB2312" w:hAnsi="仿宋_GB2312" w:eastAsia="仿宋_GB2312" w:cs="仿宋_GB2312"/>
              </w:rPr>
              <w:t>文件作实质性修改。</w:t>
            </w:r>
          </w:p>
        </w:tc>
      </w:tr>
      <w:tr w14:paraId="01C40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46F49A01">
            <w:pPr>
              <w:pStyle w:val="11"/>
              <w:jc w:val="both"/>
              <w:rPr>
                <w:rFonts w:hint="eastAsia" w:eastAsia="仿宋_GB2312"/>
                <w:lang w:eastAsia="zh-CN"/>
              </w:rPr>
            </w:pPr>
            <w:r>
              <w:rPr>
                <w:rFonts w:ascii="仿宋_GB2312" w:hAnsi="仿宋_GB2312" w:eastAsia="仿宋_GB2312" w:cs="仿宋_GB2312"/>
              </w:rPr>
              <w:t>1</w:t>
            </w:r>
            <w:r>
              <w:rPr>
                <w:rFonts w:hint="eastAsia" w:ascii="仿宋_GB2312" w:hAnsi="仿宋_GB2312" w:eastAsia="仿宋_GB2312" w:cs="仿宋_GB2312"/>
                <w:lang w:val="en-US" w:eastAsia="zh-CN"/>
              </w:rPr>
              <w:t>3</w:t>
            </w:r>
          </w:p>
        </w:tc>
        <w:tc>
          <w:tcPr>
            <w:tcW w:w="1835" w:type="dxa"/>
            <w:tcMar>
              <w:top w:w="0" w:type="dxa"/>
              <w:left w:w="105" w:type="dxa"/>
              <w:bottom w:w="0" w:type="dxa"/>
              <w:right w:w="105" w:type="dxa"/>
            </w:tcMar>
            <w:vAlign w:val="center"/>
          </w:tcPr>
          <w:p w14:paraId="6B24922F">
            <w:pPr>
              <w:pStyle w:val="11"/>
              <w:jc w:val="both"/>
            </w:pPr>
            <w:r>
              <w:rPr>
                <w:rFonts w:ascii="仿宋_GB2312" w:hAnsi="仿宋_GB2312" w:eastAsia="仿宋_GB2312" w:cs="仿宋_GB2312"/>
              </w:rPr>
              <w:t>第二阶段成交供应商的方式</w:t>
            </w:r>
          </w:p>
        </w:tc>
        <w:tc>
          <w:tcPr>
            <w:tcW w:w="5717" w:type="dxa"/>
            <w:tcMar>
              <w:top w:w="0" w:type="dxa"/>
              <w:left w:w="105" w:type="dxa"/>
              <w:bottom w:w="0" w:type="dxa"/>
              <w:right w:w="105" w:type="dxa"/>
            </w:tcMar>
            <w:vAlign w:val="center"/>
          </w:tcPr>
          <w:p w14:paraId="704FCFD5">
            <w:pPr>
              <w:pStyle w:val="11"/>
              <w:jc w:val="both"/>
            </w:pPr>
            <w:r>
              <w:rPr>
                <w:rFonts w:ascii="仿宋_GB2312" w:hAnsi="仿宋_GB2312" w:eastAsia="仿宋_GB2312" w:cs="仿宋_GB2312"/>
              </w:rPr>
              <w:t>第二阶段成交供应商的方式：直接选定、二次竞价，适用规则：采购人或者服务对象购买</w:t>
            </w:r>
            <w:r>
              <w:rPr>
                <w:rFonts w:hint="eastAsia" w:ascii="仿宋_GB2312" w:hAnsi="仿宋_GB2312" w:eastAsia="仿宋_GB2312" w:cs="仿宋_GB2312"/>
                <w:lang w:val="en-US" w:eastAsia="zh-CN"/>
              </w:rPr>
              <w:t>复印机</w:t>
            </w:r>
            <w:r>
              <w:rPr>
                <w:rFonts w:ascii="仿宋_GB2312" w:hAnsi="仿宋_GB2312" w:eastAsia="仿宋_GB2312" w:cs="仿宋_GB2312"/>
              </w:rPr>
              <w:t>时，应当将第二阶段的采购合同授予第一阶段入围供应商（含委托代理商）。</w:t>
            </w:r>
          </w:p>
          <w:p w14:paraId="1B58EBEE">
            <w:pPr>
              <w:pStyle w:val="11"/>
              <w:jc w:val="both"/>
            </w:pPr>
            <w:r>
              <w:rPr>
                <w:rFonts w:ascii="仿宋_GB2312" w:hAnsi="仿宋_GB2312" w:eastAsia="仿宋_GB2312" w:cs="仿宋_GB2312"/>
              </w:rPr>
              <w:t>确定第二阶段成交供应商的方式为直接选定。由采购人或者服务对象依据入围产品价格、质量以及服务便利性、用户评价等因素，从第一阶段入围供应商中直接选定。采购人也可通过二次竞价方式选择成交供应商。</w:t>
            </w:r>
          </w:p>
          <w:p w14:paraId="6444262A">
            <w:pPr>
              <w:pStyle w:val="11"/>
              <w:jc w:val="both"/>
            </w:pPr>
            <w:r>
              <w:rPr>
                <w:rFonts w:ascii="仿宋_GB2312" w:hAnsi="仿宋_GB2312" w:eastAsia="仿宋_GB2312" w:cs="仿宋_GB2312"/>
              </w:rPr>
              <w:t>采购人在确定成交供应商后，双方应当按照框架协议中规定的“采购合同文本”格式签订电子采购合同，不得擅自改变框架协议约定的合同实质性条款。</w:t>
            </w:r>
          </w:p>
          <w:p w14:paraId="352D7F3F">
            <w:pPr>
              <w:pStyle w:val="11"/>
              <w:jc w:val="both"/>
            </w:pPr>
            <w:r>
              <w:rPr>
                <w:rFonts w:ascii="仿宋_GB2312" w:hAnsi="仿宋_GB2312" w:eastAsia="仿宋_GB2312" w:cs="仿宋_GB2312"/>
              </w:rPr>
              <w:t>采购人证明能够以更低价格向非入围供应商采购相同货物，且入围供应商不同意将价格降至非入围供应商以下的，可以将合同授予非入围供应商。采购人将合同授予非入围供应商的，应当在确定成交供应商后1个工作日内，将成交结果抄送征集人，由征集人按照单笔公告要求发布成交结果公告。采购人应当将相关证明材料和采购合同一并存档备查。</w:t>
            </w:r>
          </w:p>
        </w:tc>
      </w:tr>
      <w:tr w14:paraId="32CBF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07B3AD77">
            <w:pPr>
              <w:pStyle w:val="11"/>
              <w:jc w:val="both"/>
              <w:rPr>
                <w:rFonts w:hint="eastAsia" w:eastAsia="仿宋_GB2312"/>
                <w:lang w:eastAsia="zh-CN"/>
              </w:rPr>
            </w:pPr>
            <w:r>
              <w:rPr>
                <w:rFonts w:ascii="仿宋_GB2312" w:hAnsi="仿宋_GB2312" w:eastAsia="仿宋_GB2312" w:cs="仿宋_GB2312"/>
              </w:rPr>
              <w:t>1</w:t>
            </w:r>
            <w:r>
              <w:rPr>
                <w:rFonts w:hint="eastAsia" w:ascii="仿宋_GB2312" w:hAnsi="仿宋_GB2312" w:eastAsia="仿宋_GB2312" w:cs="仿宋_GB2312"/>
                <w:lang w:val="en-US" w:eastAsia="zh-CN"/>
              </w:rPr>
              <w:t>4</w:t>
            </w:r>
          </w:p>
        </w:tc>
        <w:tc>
          <w:tcPr>
            <w:tcW w:w="1835" w:type="dxa"/>
            <w:tcMar>
              <w:top w:w="0" w:type="dxa"/>
              <w:left w:w="105" w:type="dxa"/>
              <w:bottom w:w="0" w:type="dxa"/>
              <w:right w:w="105" w:type="dxa"/>
            </w:tcMar>
            <w:vAlign w:val="center"/>
          </w:tcPr>
          <w:p w14:paraId="7086AEF2">
            <w:pPr>
              <w:pStyle w:val="11"/>
              <w:jc w:val="both"/>
            </w:pPr>
            <w:r>
              <w:rPr>
                <w:rFonts w:ascii="仿宋_GB2312" w:hAnsi="仿宋_GB2312" w:eastAsia="仿宋_GB2312" w:cs="仿宋_GB2312"/>
              </w:rPr>
              <w:t>特殊情况</w:t>
            </w:r>
          </w:p>
        </w:tc>
        <w:tc>
          <w:tcPr>
            <w:tcW w:w="5717" w:type="dxa"/>
            <w:tcMar>
              <w:top w:w="0" w:type="dxa"/>
              <w:left w:w="105" w:type="dxa"/>
              <w:bottom w:w="0" w:type="dxa"/>
              <w:right w:w="105" w:type="dxa"/>
            </w:tcMar>
            <w:vAlign w:val="center"/>
          </w:tcPr>
          <w:p w14:paraId="5329A996">
            <w:pPr>
              <w:pStyle w:val="11"/>
              <w:jc w:val="both"/>
            </w:pPr>
            <w:r>
              <w:rPr>
                <w:rFonts w:ascii="仿宋_GB2312" w:hAnsi="仿宋_GB2312" w:eastAsia="仿宋_GB2312" w:cs="仿宋_GB2312"/>
              </w:rPr>
              <w:t>出现下列情形之一的，征集人应当中止电子化采购活动，并保留相关证明材料备查：</w:t>
            </w:r>
          </w:p>
          <w:p w14:paraId="63C8D354">
            <w:pPr>
              <w:pStyle w:val="11"/>
              <w:jc w:val="both"/>
            </w:pPr>
            <w:r>
              <w:rPr>
                <w:rFonts w:ascii="仿宋_GB2312" w:hAnsi="仿宋_GB2312" w:eastAsia="仿宋_GB2312" w:cs="仿宋_GB2312"/>
              </w:rPr>
              <w:t>（一）交易系统发生故障（包括感染病毒、应用或数据库出错）而无法正常使用的；</w:t>
            </w:r>
          </w:p>
          <w:p w14:paraId="675D88FD">
            <w:pPr>
              <w:pStyle w:val="11"/>
              <w:jc w:val="both"/>
            </w:pPr>
            <w:r>
              <w:rPr>
                <w:rFonts w:ascii="仿宋_GB2312" w:hAnsi="仿宋_GB2312" w:eastAsia="仿宋_GB2312" w:cs="仿宋_GB2312"/>
              </w:rPr>
              <w:t>（二）因组织场所停电、断网等原因，导致采购活动无法继续通过交易系统实施的；</w:t>
            </w:r>
          </w:p>
          <w:p w14:paraId="30BD1F98">
            <w:pPr>
              <w:pStyle w:val="11"/>
              <w:jc w:val="both"/>
            </w:pPr>
            <w:r>
              <w:rPr>
                <w:rFonts w:ascii="仿宋_GB2312" w:hAnsi="仿宋_GB2312" w:eastAsia="仿宋_GB2312" w:cs="仿宋_GB2312"/>
              </w:rPr>
              <w:t>（三）其他无法保证电子化交易的公平、公正和安全的情况。出现上述的情形，不影响采购公平、公正的，征集人可以待上述情形消除后继续组织采购活动；影响或者可能影响采购公平、公正的，征集人应当依法废标。</w:t>
            </w:r>
          </w:p>
        </w:tc>
      </w:tr>
      <w:tr w14:paraId="6550D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5D530915">
            <w:pPr>
              <w:pStyle w:val="11"/>
              <w:jc w:val="both"/>
              <w:rPr>
                <w:rFonts w:hint="default" w:eastAsiaTheme="minorEastAsia"/>
                <w:lang w:val="en-US" w:eastAsia="zh-CN"/>
              </w:rPr>
            </w:pPr>
            <w:r>
              <w:rPr>
                <w:rFonts w:hint="eastAsia" w:ascii="仿宋_GB2312" w:hAnsi="仿宋_GB2312" w:eastAsia="仿宋_GB2312" w:cs="仿宋_GB2312"/>
                <w:lang w:val="en-US" w:eastAsia="zh-CN"/>
              </w:rPr>
              <w:t>15</w:t>
            </w:r>
          </w:p>
        </w:tc>
        <w:tc>
          <w:tcPr>
            <w:tcW w:w="1835" w:type="dxa"/>
            <w:tcMar>
              <w:top w:w="0" w:type="dxa"/>
              <w:left w:w="105" w:type="dxa"/>
              <w:bottom w:w="0" w:type="dxa"/>
              <w:right w:w="105" w:type="dxa"/>
            </w:tcMar>
            <w:vAlign w:val="center"/>
          </w:tcPr>
          <w:p w14:paraId="49E0C4E8">
            <w:pPr>
              <w:pStyle w:val="11"/>
              <w:jc w:val="both"/>
            </w:pPr>
            <w:r>
              <w:rPr>
                <w:rFonts w:ascii="仿宋_GB2312" w:hAnsi="仿宋_GB2312" w:eastAsia="仿宋_GB2312" w:cs="仿宋_GB2312"/>
              </w:rPr>
              <w:t>报价/分值精确度</w:t>
            </w:r>
          </w:p>
        </w:tc>
        <w:tc>
          <w:tcPr>
            <w:tcW w:w="5717" w:type="dxa"/>
            <w:tcMar>
              <w:top w:w="0" w:type="dxa"/>
              <w:left w:w="105" w:type="dxa"/>
              <w:bottom w:w="0" w:type="dxa"/>
              <w:right w:w="105" w:type="dxa"/>
            </w:tcMar>
            <w:vAlign w:val="center"/>
          </w:tcPr>
          <w:p w14:paraId="1FD845A4">
            <w:pPr>
              <w:pStyle w:val="11"/>
              <w:jc w:val="both"/>
              <w:rPr>
                <w:rFonts w:ascii="仿宋_GB2312" w:hAnsi="仿宋_GB2312" w:eastAsia="仿宋_GB2312" w:cs="仿宋_GB2312"/>
              </w:rPr>
            </w:pPr>
            <w:r>
              <w:rPr>
                <w:rFonts w:ascii="仿宋_GB2312" w:hAnsi="仿宋_GB2312" w:eastAsia="仿宋_GB2312" w:cs="仿宋_GB2312"/>
                <w:lang w:val="en-US" w:eastAsia="zh-CN"/>
              </w:rPr>
              <w:t>所有</w:t>
            </w:r>
            <w:r>
              <w:rPr>
                <w:rFonts w:hint="eastAsia" w:ascii="仿宋_GB2312" w:hAnsi="仿宋_GB2312" w:eastAsia="仿宋_GB2312" w:cs="仿宋_GB2312"/>
                <w:lang w:eastAsia="zh-CN"/>
              </w:rPr>
              <w:t>投标（响应）</w:t>
            </w:r>
            <w:r>
              <w:rPr>
                <w:rFonts w:ascii="仿宋_GB2312" w:hAnsi="仿宋_GB2312" w:eastAsia="仿宋_GB2312" w:cs="仿宋_GB2312"/>
                <w:lang w:val="en-US" w:eastAsia="zh-CN"/>
              </w:rPr>
              <w:t>报价均以人民币元为计量单位。</w:t>
            </w:r>
          </w:p>
          <w:p w14:paraId="141DC116">
            <w:pPr>
              <w:pStyle w:val="11"/>
              <w:jc w:val="both"/>
            </w:pPr>
            <w:r>
              <w:rPr>
                <w:rFonts w:ascii="仿宋_GB2312" w:hAnsi="仿宋_GB2312" w:eastAsia="仿宋_GB2312" w:cs="仿宋_GB2312"/>
              </w:rPr>
              <w:t>所有</w:t>
            </w:r>
            <w:r>
              <w:rPr>
                <w:rFonts w:hint="eastAsia" w:ascii="仿宋_GB2312" w:hAnsi="仿宋_GB2312" w:eastAsia="仿宋_GB2312" w:cs="仿宋_GB2312"/>
                <w:lang w:val="en-US" w:eastAsia="zh-CN"/>
              </w:rPr>
              <w:t>价格</w:t>
            </w:r>
            <w:r>
              <w:rPr>
                <w:rFonts w:ascii="仿宋_GB2312" w:hAnsi="仿宋_GB2312" w:eastAsia="仿宋_GB2312" w:cs="仿宋_GB2312"/>
              </w:rPr>
              <w:t>项默认最多可输入/展示至小数点后2位，超出小数点位的数值采用四舍五入的方式进行精确。</w:t>
            </w:r>
          </w:p>
        </w:tc>
      </w:tr>
      <w:tr w14:paraId="7D783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5B9FDD05">
            <w:pPr>
              <w:pStyle w:val="11"/>
              <w:jc w:val="both"/>
              <w:rPr>
                <w:rFonts w:hint="eastAsia" w:eastAsia="仿宋_GB2312"/>
                <w:lang w:eastAsia="zh-CN"/>
              </w:rPr>
            </w:pPr>
            <w:r>
              <w:rPr>
                <w:rFonts w:ascii="仿宋_GB2312" w:hAnsi="仿宋_GB2312" w:eastAsia="仿宋_GB2312" w:cs="仿宋_GB2312"/>
              </w:rPr>
              <w:t>1</w:t>
            </w:r>
            <w:r>
              <w:rPr>
                <w:rFonts w:hint="eastAsia" w:ascii="仿宋_GB2312" w:hAnsi="仿宋_GB2312" w:eastAsia="仿宋_GB2312" w:cs="仿宋_GB2312"/>
                <w:lang w:val="en-US" w:eastAsia="zh-CN"/>
              </w:rPr>
              <w:t>6</w:t>
            </w:r>
          </w:p>
        </w:tc>
        <w:tc>
          <w:tcPr>
            <w:tcW w:w="1835" w:type="dxa"/>
            <w:tcMar>
              <w:top w:w="0" w:type="dxa"/>
              <w:left w:w="105" w:type="dxa"/>
              <w:bottom w:w="0" w:type="dxa"/>
              <w:right w:w="105" w:type="dxa"/>
            </w:tcMar>
            <w:vAlign w:val="center"/>
          </w:tcPr>
          <w:p w14:paraId="160851B5">
            <w:pPr>
              <w:pStyle w:val="11"/>
              <w:jc w:val="both"/>
            </w:pPr>
            <w:r>
              <w:rPr>
                <w:rFonts w:ascii="仿宋_GB2312" w:hAnsi="仿宋_GB2312" w:eastAsia="仿宋_GB2312" w:cs="仿宋_GB2312"/>
              </w:rPr>
              <w:t>供应商</w:t>
            </w:r>
            <w:r>
              <w:rPr>
                <w:rFonts w:hint="eastAsia" w:ascii="仿宋_GB2312" w:hAnsi="仿宋_GB2312" w:eastAsia="仿宋_GB2312" w:cs="仿宋_GB2312"/>
                <w:lang w:eastAsia="zh-CN"/>
              </w:rPr>
              <w:t>投标（响应）</w:t>
            </w:r>
            <w:r>
              <w:rPr>
                <w:rFonts w:ascii="仿宋_GB2312" w:hAnsi="仿宋_GB2312" w:eastAsia="仿宋_GB2312" w:cs="仿宋_GB2312"/>
              </w:rPr>
              <w:t>注意事项</w:t>
            </w:r>
          </w:p>
        </w:tc>
        <w:tc>
          <w:tcPr>
            <w:tcW w:w="5717" w:type="dxa"/>
            <w:tcMar>
              <w:top w:w="0" w:type="dxa"/>
              <w:left w:w="105" w:type="dxa"/>
              <w:bottom w:w="0" w:type="dxa"/>
              <w:right w:w="105" w:type="dxa"/>
            </w:tcMar>
            <w:vAlign w:val="center"/>
          </w:tcPr>
          <w:p w14:paraId="1491DF4F">
            <w:pPr>
              <w:pStyle w:val="11"/>
              <w:jc w:val="both"/>
            </w:pPr>
            <w:r>
              <w:rPr>
                <w:rFonts w:ascii="仿宋_GB2312" w:hAnsi="仿宋_GB2312" w:eastAsia="仿宋_GB2312" w:cs="仿宋_GB2312"/>
              </w:rPr>
              <w:t>供应商编制</w:t>
            </w:r>
            <w:r>
              <w:rPr>
                <w:rFonts w:hint="eastAsia" w:ascii="仿宋_GB2312" w:hAnsi="仿宋_GB2312" w:eastAsia="仿宋_GB2312" w:cs="仿宋_GB2312"/>
                <w:lang w:eastAsia="zh-CN"/>
              </w:rPr>
              <w:t>投标（响应）</w:t>
            </w:r>
            <w:r>
              <w:rPr>
                <w:rFonts w:ascii="仿宋_GB2312" w:hAnsi="仿宋_GB2312" w:eastAsia="仿宋_GB2312" w:cs="仿宋_GB2312"/>
              </w:rPr>
              <w:t>文件时，</w:t>
            </w:r>
            <w:r>
              <w:rPr>
                <w:rFonts w:hint="eastAsia" w:ascii="仿宋_GB2312" w:hAnsi="仿宋_GB2312" w:eastAsia="仿宋_GB2312" w:cs="仿宋_GB2312"/>
                <w:lang w:eastAsia="zh-CN"/>
              </w:rPr>
              <w:t>投标（响应）</w:t>
            </w:r>
            <w:r>
              <w:rPr>
                <w:rFonts w:ascii="仿宋_GB2312" w:hAnsi="仿宋_GB2312" w:eastAsia="仿宋_GB2312" w:cs="仿宋_GB2312"/>
              </w:rPr>
              <w:t>的产品通过投标客户端选择厂商事前已录入产品库的产品。供应商应当自行协调厂商按照框架协议采购系统产品入库要求，及时维护产品信息。</w:t>
            </w:r>
            <w:r>
              <w:rPr>
                <w:rFonts w:hint="eastAsia" w:ascii="仿宋_GB2312" w:hAnsi="仿宋_GB2312" w:eastAsia="仿宋_GB2312" w:cs="仿宋_GB2312"/>
                <w:lang w:eastAsia="zh-CN"/>
              </w:rPr>
              <w:t>投标（响应）</w:t>
            </w:r>
            <w:r>
              <w:rPr>
                <w:rFonts w:ascii="仿宋_GB2312" w:hAnsi="仿宋_GB2312" w:eastAsia="仿宋_GB2312" w:cs="仿宋_GB2312"/>
              </w:rPr>
              <w:t>文件中响应的产品信息的真实性、完整性由供应商负责。</w:t>
            </w:r>
          </w:p>
        </w:tc>
      </w:tr>
      <w:tr w14:paraId="256D6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shd w:val="clear" w:color="auto" w:fill="auto"/>
            <w:tcMar>
              <w:top w:w="0" w:type="dxa"/>
              <w:left w:w="105" w:type="dxa"/>
              <w:bottom w:w="0" w:type="dxa"/>
              <w:right w:w="105" w:type="dxa"/>
            </w:tcMar>
            <w:vAlign w:val="top"/>
          </w:tcPr>
          <w:p w14:paraId="139B92E1">
            <w:pPr>
              <w:pStyle w:val="11"/>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17</w:t>
            </w:r>
          </w:p>
        </w:tc>
        <w:tc>
          <w:tcPr>
            <w:tcW w:w="1835" w:type="dxa"/>
            <w:shd w:val="clear" w:color="auto" w:fill="auto"/>
            <w:tcMar>
              <w:top w:w="0" w:type="dxa"/>
              <w:left w:w="105" w:type="dxa"/>
              <w:bottom w:w="0" w:type="dxa"/>
              <w:right w:w="105" w:type="dxa"/>
            </w:tcMar>
            <w:vAlign w:val="top"/>
          </w:tcPr>
          <w:p w14:paraId="248EF541">
            <w:pPr>
              <w:pStyle w:val="11"/>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履约保证金</w:t>
            </w:r>
          </w:p>
        </w:tc>
        <w:tc>
          <w:tcPr>
            <w:tcW w:w="5717" w:type="dxa"/>
            <w:shd w:val="clear" w:color="auto" w:fill="auto"/>
            <w:tcMar>
              <w:top w:w="0" w:type="dxa"/>
              <w:left w:w="105" w:type="dxa"/>
              <w:bottom w:w="0" w:type="dxa"/>
              <w:right w:w="105" w:type="dxa"/>
            </w:tcMar>
            <w:vAlign w:val="top"/>
          </w:tcPr>
          <w:p w14:paraId="69B3E8BB">
            <w:pPr>
              <w:pStyle w:val="11"/>
              <w:jc w:val="both"/>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无。</w:t>
            </w:r>
          </w:p>
        </w:tc>
      </w:tr>
      <w:tr w14:paraId="3EEF8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5" w:type="dxa"/>
            <w:shd w:val="clear" w:color="auto" w:fill="auto"/>
            <w:tcMar>
              <w:top w:w="0" w:type="dxa"/>
              <w:left w:w="105" w:type="dxa"/>
              <w:bottom w:w="0" w:type="dxa"/>
              <w:right w:w="105" w:type="dxa"/>
            </w:tcMar>
            <w:vAlign w:val="top"/>
          </w:tcPr>
          <w:p w14:paraId="1810C46A">
            <w:pPr>
              <w:pStyle w:val="11"/>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18</w:t>
            </w:r>
          </w:p>
        </w:tc>
        <w:tc>
          <w:tcPr>
            <w:tcW w:w="1835" w:type="dxa"/>
            <w:shd w:val="clear" w:color="auto" w:fill="auto"/>
            <w:tcMar>
              <w:top w:w="0" w:type="dxa"/>
              <w:left w:w="105" w:type="dxa"/>
              <w:bottom w:w="0" w:type="dxa"/>
              <w:right w:w="105" w:type="dxa"/>
            </w:tcMar>
            <w:vAlign w:val="top"/>
          </w:tcPr>
          <w:p w14:paraId="5E2CF155">
            <w:pPr>
              <w:pStyle w:val="11"/>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是否允许分包</w:t>
            </w:r>
          </w:p>
        </w:tc>
        <w:tc>
          <w:tcPr>
            <w:tcW w:w="5717" w:type="dxa"/>
            <w:shd w:val="clear" w:color="auto" w:fill="auto"/>
            <w:tcMar>
              <w:top w:w="0" w:type="dxa"/>
              <w:left w:w="105" w:type="dxa"/>
              <w:bottom w:w="0" w:type="dxa"/>
              <w:right w:w="105" w:type="dxa"/>
            </w:tcMar>
            <w:vAlign w:val="top"/>
          </w:tcPr>
          <w:p w14:paraId="13D560E3">
            <w:pPr>
              <w:pStyle w:val="11"/>
              <w:jc w:val="both"/>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否。</w:t>
            </w:r>
          </w:p>
        </w:tc>
      </w:tr>
      <w:tr w14:paraId="0B1F2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shd w:val="clear" w:color="auto" w:fill="auto"/>
            <w:tcMar>
              <w:top w:w="0" w:type="dxa"/>
              <w:left w:w="105" w:type="dxa"/>
              <w:bottom w:w="0" w:type="dxa"/>
              <w:right w:w="105" w:type="dxa"/>
            </w:tcMar>
            <w:vAlign w:val="top"/>
          </w:tcPr>
          <w:p w14:paraId="7D5DC119">
            <w:pPr>
              <w:pStyle w:val="11"/>
              <w:jc w:val="both"/>
              <w:rPr>
                <w:rFonts w:hint="default"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19</w:t>
            </w:r>
          </w:p>
        </w:tc>
        <w:tc>
          <w:tcPr>
            <w:tcW w:w="1835" w:type="dxa"/>
            <w:shd w:val="clear" w:color="auto" w:fill="auto"/>
            <w:tcMar>
              <w:top w:w="0" w:type="dxa"/>
              <w:left w:w="105" w:type="dxa"/>
              <w:bottom w:w="0" w:type="dxa"/>
              <w:right w:w="105" w:type="dxa"/>
            </w:tcMar>
            <w:vAlign w:val="top"/>
          </w:tcPr>
          <w:p w14:paraId="1CB730B1">
            <w:pPr>
              <w:keepNext w:val="0"/>
              <w:keepLines w:val="0"/>
              <w:widowControl/>
              <w:suppressLineNumbers w:val="0"/>
              <w:jc w:val="left"/>
              <w:rPr>
                <w:rFonts w:hint="eastAsia" w:ascii="仿宋_GB2312" w:hAnsi="仿宋_GB2312" w:eastAsia="仿宋_GB2312" w:cs="仿宋_GB2312"/>
                <w:snapToGrid/>
                <w:color w:val="auto"/>
                <w:kern w:val="0"/>
                <w:sz w:val="20"/>
                <w:szCs w:val="20"/>
                <w:lang w:val="en-US" w:eastAsia="zh-CN"/>
              </w:rPr>
            </w:pPr>
            <w:r>
              <w:rPr>
                <w:rFonts w:hint="eastAsia" w:ascii="仿宋_GB2312" w:hAnsi="仿宋_GB2312" w:eastAsia="仿宋_GB2312" w:cs="仿宋_GB2312"/>
                <w:color w:val="auto"/>
                <w:lang w:eastAsia="zh-CN"/>
              </w:rPr>
              <w:t>投标（响应）</w:t>
            </w:r>
            <w:r>
              <w:rPr>
                <w:rFonts w:hint="eastAsia" w:ascii="仿宋_GB2312" w:hAnsi="仿宋_GB2312" w:eastAsia="仿宋_GB2312" w:cs="仿宋_GB2312"/>
                <w:snapToGrid/>
                <w:color w:val="auto"/>
                <w:kern w:val="0"/>
                <w:sz w:val="20"/>
                <w:szCs w:val="20"/>
                <w:lang w:val="en-US" w:eastAsia="zh-CN"/>
              </w:rPr>
              <w:t>的语言及计量单位</w:t>
            </w:r>
          </w:p>
        </w:tc>
        <w:tc>
          <w:tcPr>
            <w:tcW w:w="5717" w:type="dxa"/>
            <w:shd w:val="clear" w:color="auto" w:fill="auto"/>
            <w:tcMar>
              <w:top w:w="0" w:type="dxa"/>
              <w:left w:w="105" w:type="dxa"/>
              <w:bottom w:w="0" w:type="dxa"/>
              <w:right w:w="105" w:type="dxa"/>
            </w:tcMar>
            <w:vAlign w:val="top"/>
          </w:tcPr>
          <w:p w14:paraId="3A111196">
            <w:pPr>
              <w:keepNext w:val="0"/>
              <w:keepLines w:val="0"/>
              <w:pageBreakBefore w:val="0"/>
              <w:widowControl/>
              <w:numPr>
                <w:ilvl w:val="0"/>
                <w:numId w:val="0"/>
              </w:numPr>
              <w:suppressLineNumbers w:val="0"/>
              <w:wordWrap/>
              <w:overflowPunct/>
              <w:topLinePunct w:val="0"/>
              <w:bidi w:val="0"/>
              <w:jc w:val="left"/>
              <w:rPr>
                <w:rFonts w:hint="eastAsia" w:ascii="仿宋_GB2312" w:hAnsi="仿宋_GB2312" w:eastAsia="仿宋_GB2312" w:cs="仿宋_GB2312"/>
                <w:snapToGrid/>
                <w:color w:val="auto"/>
                <w:kern w:val="0"/>
                <w:sz w:val="20"/>
                <w:szCs w:val="20"/>
                <w:lang w:val="en-US" w:eastAsia="zh-CN"/>
              </w:rPr>
            </w:pPr>
            <w:r>
              <w:rPr>
                <w:rFonts w:hint="eastAsia" w:ascii="仿宋_GB2312" w:hAnsi="仿宋_GB2312" w:eastAsia="仿宋_GB2312" w:cs="仿宋_GB2312"/>
                <w:snapToGrid/>
                <w:color w:val="auto"/>
                <w:kern w:val="0"/>
                <w:sz w:val="20"/>
                <w:szCs w:val="20"/>
                <w:lang w:val="en-US" w:eastAsia="zh-CN"/>
              </w:rPr>
              <w:t>1.响应人提交的投标（响应）文件（包括资格、技术文件、资料、图纸中的说明等）以及投标（响应）供应商与征集人本项目响应有关的全部往来函件、邮件等，均须使用中文简体字。</w:t>
            </w:r>
          </w:p>
          <w:p w14:paraId="7E5859DB">
            <w:pPr>
              <w:keepNext w:val="0"/>
              <w:keepLines w:val="0"/>
              <w:pageBreakBefore w:val="0"/>
              <w:widowControl/>
              <w:numPr>
                <w:ilvl w:val="0"/>
                <w:numId w:val="0"/>
              </w:numPr>
              <w:suppressLineNumbers w:val="0"/>
              <w:wordWrap/>
              <w:overflowPunct/>
              <w:topLinePunct w:val="0"/>
              <w:bidi w:val="0"/>
              <w:jc w:val="left"/>
              <w:rPr>
                <w:rFonts w:hint="eastAsia" w:ascii="仿宋_GB2312" w:hAnsi="仿宋_GB2312" w:eastAsia="仿宋_GB2312" w:cs="仿宋_GB2312"/>
                <w:snapToGrid/>
                <w:color w:val="auto"/>
                <w:kern w:val="0"/>
                <w:sz w:val="20"/>
                <w:szCs w:val="20"/>
                <w:lang w:val="en-US" w:eastAsia="zh-Hans"/>
              </w:rPr>
            </w:pPr>
            <w:r>
              <w:rPr>
                <w:rFonts w:hint="eastAsia" w:ascii="仿宋_GB2312" w:hAnsi="仿宋_GB2312" w:eastAsia="仿宋_GB2312" w:cs="仿宋_GB2312"/>
                <w:snapToGrid/>
                <w:color w:val="auto"/>
                <w:kern w:val="0"/>
                <w:sz w:val="20"/>
                <w:szCs w:val="20"/>
                <w:lang w:val="en-US" w:eastAsia="zh-CN"/>
              </w:rPr>
              <w:t>2.原版为外文的证书类、证明类文件，以及外国人本人签名、外国公司名称、外国印章等，可使用外文，但须同时提供中文翻译文件（可为复印件）并加盖响应人公章。如原版外文文件内容与响应人名称或其他实际情况不符的，响应人还须一并提交相关证明文件。</w:t>
            </w:r>
          </w:p>
          <w:p w14:paraId="5E78A8D6">
            <w:pPr>
              <w:keepNext w:val="0"/>
              <w:keepLines w:val="0"/>
              <w:pageBreakBefore w:val="0"/>
              <w:widowControl/>
              <w:numPr>
                <w:ilvl w:val="0"/>
                <w:numId w:val="0"/>
              </w:numPr>
              <w:suppressLineNumbers w:val="0"/>
              <w:wordWrap/>
              <w:overflowPunct/>
              <w:topLinePunct w:val="0"/>
              <w:bidi w:val="0"/>
              <w:jc w:val="left"/>
              <w:rPr>
                <w:rFonts w:hint="eastAsia" w:ascii="仿宋_GB2312" w:hAnsi="仿宋_GB2312" w:eastAsia="仿宋_GB2312" w:cs="仿宋_GB2312"/>
                <w:snapToGrid/>
                <w:color w:val="auto"/>
                <w:kern w:val="0"/>
                <w:sz w:val="20"/>
                <w:szCs w:val="20"/>
                <w:lang w:val="en-US" w:eastAsia="zh-Hans"/>
              </w:rPr>
            </w:pPr>
            <w:r>
              <w:rPr>
                <w:rFonts w:hint="eastAsia" w:ascii="仿宋_GB2312" w:hAnsi="仿宋_GB2312" w:eastAsia="仿宋_GB2312" w:cs="仿宋_GB2312"/>
                <w:snapToGrid/>
                <w:color w:val="auto"/>
                <w:kern w:val="0"/>
                <w:sz w:val="20"/>
                <w:szCs w:val="20"/>
                <w:lang w:val="en-US" w:eastAsia="zh-CN"/>
              </w:rPr>
              <w:t>3.投标（响应）文件中使用的计量单位，应使用国家法定计量单位。</w:t>
            </w:r>
          </w:p>
          <w:p w14:paraId="74C0EF02">
            <w:pPr>
              <w:keepNext w:val="0"/>
              <w:keepLines w:val="0"/>
              <w:pageBreakBefore w:val="0"/>
              <w:widowControl/>
              <w:numPr>
                <w:ilvl w:val="0"/>
                <w:numId w:val="0"/>
              </w:numPr>
              <w:suppressLineNumbers w:val="0"/>
              <w:wordWrap/>
              <w:overflowPunct/>
              <w:topLinePunct w:val="0"/>
              <w:bidi w:val="0"/>
              <w:jc w:val="left"/>
              <w:rPr>
                <w:rFonts w:hint="eastAsia" w:ascii="仿宋_GB2312" w:hAnsi="仿宋_GB2312" w:eastAsia="仿宋_GB2312" w:cs="仿宋_GB2312"/>
                <w:snapToGrid/>
                <w:color w:val="auto"/>
                <w:kern w:val="0"/>
                <w:sz w:val="20"/>
                <w:szCs w:val="20"/>
                <w:lang w:val="en-US" w:eastAsia="zh-CN"/>
              </w:rPr>
            </w:pPr>
            <w:r>
              <w:rPr>
                <w:rFonts w:hint="eastAsia" w:ascii="仿宋_GB2312" w:hAnsi="仿宋_GB2312" w:eastAsia="仿宋_GB2312" w:cs="仿宋_GB2312"/>
                <w:snapToGrid/>
                <w:color w:val="auto"/>
                <w:kern w:val="0"/>
                <w:sz w:val="20"/>
                <w:szCs w:val="20"/>
                <w:lang w:val="en-US" w:eastAsia="zh-CN"/>
              </w:rPr>
              <w:t>4.对违反上述规定情形的，评审委员会有权要求投标（响应）供应商在限定期限内提供相应文件或直接决定对其响应予以拒绝。</w:t>
            </w:r>
          </w:p>
        </w:tc>
      </w:tr>
      <w:tr w14:paraId="24148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shd w:val="clear" w:color="auto" w:fill="auto"/>
            <w:tcMar>
              <w:top w:w="0" w:type="dxa"/>
              <w:left w:w="105" w:type="dxa"/>
              <w:bottom w:w="0" w:type="dxa"/>
              <w:right w:w="105" w:type="dxa"/>
            </w:tcMar>
            <w:vAlign w:val="top"/>
          </w:tcPr>
          <w:p w14:paraId="1D98907F">
            <w:pPr>
              <w:pStyle w:val="11"/>
              <w:jc w:val="both"/>
              <w:rPr>
                <w:rFonts w:hint="default"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20</w:t>
            </w:r>
          </w:p>
        </w:tc>
        <w:tc>
          <w:tcPr>
            <w:tcW w:w="1835" w:type="dxa"/>
            <w:shd w:val="clear" w:color="auto" w:fill="auto"/>
            <w:tcMar>
              <w:top w:w="0" w:type="dxa"/>
              <w:left w:w="105" w:type="dxa"/>
              <w:bottom w:w="0" w:type="dxa"/>
              <w:right w:w="105" w:type="dxa"/>
            </w:tcMar>
            <w:vAlign w:val="top"/>
          </w:tcPr>
          <w:p w14:paraId="2C56D12A">
            <w:pPr>
              <w:keepNext w:val="0"/>
              <w:keepLines w:val="0"/>
              <w:widowControl/>
              <w:numPr>
                <w:ilvl w:val="0"/>
                <w:numId w:val="0"/>
              </w:numPr>
              <w:suppressLineNumbers w:val="0"/>
              <w:jc w:val="left"/>
              <w:rPr>
                <w:rFonts w:hint="eastAsia"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投标（响应）文件编写说明</w:t>
            </w:r>
          </w:p>
        </w:tc>
        <w:tc>
          <w:tcPr>
            <w:tcW w:w="5717" w:type="dxa"/>
            <w:shd w:val="clear" w:color="auto" w:fill="auto"/>
            <w:tcMar>
              <w:top w:w="0" w:type="dxa"/>
              <w:left w:w="105" w:type="dxa"/>
              <w:bottom w:w="0" w:type="dxa"/>
              <w:right w:w="105" w:type="dxa"/>
            </w:tcMar>
            <w:vAlign w:val="top"/>
          </w:tcPr>
          <w:p w14:paraId="67C9580C">
            <w:pPr>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jc w:val="left"/>
              <w:textAlignment w:val="baseline"/>
              <w:rPr>
                <w:rFonts w:hint="eastAsia" w:ascii="仿宋_GB2312" w:hAnsi="仿宋_GB2312" w:eastAsia="仿宋_GB2312" w:cs="仿宋_GB2312"/>
                <w:snapToGrid/>
                <w:color w:val="auto"/>
                <w:kern w:val="0"/>
                <w:sz w:val="20"/>
                <w:szCs w:val="20"/>
                <w:lang w:val="en-US" w:eastAsia="zh-CN"/>
              </w:rPr>
            </w:pPr>
            <w:r>
              <w:rPr>
                <w:rFonts w:hint="eastAsia" w:ascii="仿宋_GB2312" w:hAnsi="仿宋_GB2312" w:eastAsia="仿宋_GB2312" w:cs="仿宋_GB2312"/>
                <w:snapToGrid/>
                <w:color w:val="auto"/>
                <w:kern w:val="0"/>
                <w:sz w:val="20"/>
                <w:szCs w:val="20"/>
                <w:lang w:val="en-US" w:eastAsia="zh-CN"/>
              </w:rPr>
              <w:t>1.响应人应详细阅读征集文件的全部内容。投标（响应）文件须对征集文件中的内容做出实质性和完整性的响应。</w:t>
            </w:r>
          </w:p>
          <w:p w14:paraId="519BBE9A">
            <w:pPr>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jc w:val="left"/>
              <w:textAlignment w:val="baseline"/>
              <w:rPr>
                <w:rFonts w:hint="eastAsia" w:ascii="仿宋_GB2312" w:hAnsi="仿宋_GB2312" w:eastAsia="仿宋_GB2312" w:cs="仿宋_GB2312"/>
                <w:snapToGrid/>
                <w:color w:val="auto"/>
                <w:kern w:val="0"/>
                <w:sz w:val="20"/>
                <w:szCs w:val="20"/>
                <w:lang w:val="en-US" w:eastAsia="zh-CN"/>
              </w:rPr>
            </w:pPr>
            <w:r>
              <w:rPr>
                <w:rFonts w:hint="eastAsia" w:ascii="仿宋_GB2312" w:hAnsi="仿宋_GB2312" w:eastAsia="仿宋_GB2312" w:cs="仿宋_GB2312"/>
                <w:snapToGrid/>
                <w:color w:val="auto"/>
                <w:kern w:val="0"/>
                <w:sz w:val="20"/>
                <w:szCs w:val="20"/>
                <w:lang w:val="en-US" w:eastAsia="zh-CN"/>
              </w:rPr>
              <w:t>2.除可填报内容外，对《响应函》《投标（响应）及履约承诺函》等内容的任何实质性修改将被视为非实质性响应，该响应将被拒绝。投标（响应）供应商修改征集文件商务、技术需求后进行应答的，该投标（响应）将被拒绝。由于编排混乱导致响应文件被误读或查找不到，由投标（响应）供应商承担责任。</w:t>
            </w:r>
          </w:p>
          <w:p w14:paraId="4CAA17C2">
            <w:pPr>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jc w:val="left"/>
              <w:textAlignment w:val="baseline"/>
              <w:rPr>
                <w:rFonts w:hint="eastAsia" w:ascii="仿宋_GB2312" w:hAnsi="仿宋_GB2312" w:eastAsia="仿宋_GB2312" w:cs="仿宋_GB2312"/>
                <w:snapToGrid/>
                <w:color w:val="auto"/>
                <w:kern w:val="0"/>
                <w:sz w:val="20"/>
                <w:szCs w:val="20"/>
                <w:lang w:val="en-US" w:eastAsia="zh-CN"/>
              </w:rPr>
            </w:pPr>
            <w:r>
              <w:rPr>
                <w:rFonts w:hint="eastAsia" w:ascii="仿宋_GB2312" w:hAnsi="仿宋_GB2312" w:eastAsia="仿宋_GB2312" w:cs="仿宋_GB2312"/>
                <w:snapToGrid/>
                <w:color w:val="auto"/>
                <w:kern w:val="0"/>
                <w:sz w:val="20"/>
                <w:szCs w:val="20"/>
                <w:lang w:val="en-US" w:eastAsia="zh-CN"/>
              </w:rPr>
              <w:t>3.投标（响应）供应商对投标（响应）文件的真实性和合法性承担法律责任，并接受征集人或评审委员会对其中任何资料进一步审查的要求。</w:t>
            </w:r>
          </w:p>
        </w:tc>
      </w:tr>
      <w:tr w14:paraId="39BFB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shd w:val="clear" w:color="auto" w:fill="auto"/>
            <w:tcMar>
              <w:top w:w="0" w:type="dxa"/>
              <w:left w:w="105" w:type="dxa"/>
              <w:bottom w:w="0" w:type="dxa"/>
              <w:right w:w="105" w:type="dxa"/>
            </w:tcMar>
            <w:vAlign w:val="top"/>
          </w:tcPr>
          <w:p w14:paraId="35F08167">
            <w:pPr>
              <w:pStyle w:val="11"/>
              <w:jc w:val="both"/>
              <w:rPr>
                <w:rFonts w:hint="default"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21</w:t>
            </w:r>
          </w:p>
        </w:tc>
        <w:tc>
          <w:tcPr>
            <w:tcW w:w="1835" w:type="dxa"/>
            <w:shd w:val="clear" w:color="auto" w:fill="auto"/>
            <w:tcMar>
              <w:top w:w="0" w:type="dxa"/>
              <w:left w:w="105" w:type="dxa"/>
              <w:bottom w:w="0" w:type="dxa"/>
              <w:right w:w="105" w:type="dxa"/>
            </w:tcMar>
            <w:vAlign w:val="top"/>
          </w:tcPr>
          <w:p w14:paraId="78A7D739">
            <w:pPr>
              <w:pStyle w:val="11"/>
              <w:jc w:val="both"/>
              <w:rPr>
                <w:rFonts w:hint="default"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通知</w:t>
            </w:r>
          </w:p>
        </w:tc>
        <w:tc>
          <w:tcPr>
            <w:tcW w:w="5717" w:type="dxa"/>
            <w:shd w:val="clear" w:color="auto" w:fill="auto"/>
            <w:tcMar>
              <w:top w:w="0" w:type="dxa"/>
              <w:left w:w="105" w:type="dxa"/>
              <w:bottom w:w="0" w:type="dxa"/>
              <w:right w:w="105" w:type="dxa"/>
            </w:tcMar>
            <w:vAlign w:val="top"/>
          </w:tcPr>
          <w:p w14:paraId="4E54E7F2">
            <w:pPr>
              <w:pStyle w:val="11"/>
              <w:jc w:val="both"/>
              <w:rPr>
                <w:rFonts w:hint="eastAsia" w:ascii="仿宋_GB2312" w:hAnsi="仿宋_GB2312" w:eastAsia="仿宋_GB2312" w:cs="仿宋_GB2312"/>
                <w:snapToGrid/>
                <w:color w:val="auto"/>
                <w:kern w:val="0"/>
                <w:sz w:val="20"/>
                <w:szCs w:val="20"/>
                <w:lang w:val="en-US" w:eastAsia="zh-CN"/>
              </w:rPr>
            </w:pPr>
            <w:r>
              <w:rPr>
                <w:rFonts w:hint="eastAsia" w:ascii="仿宋_GB2312" w:hAnsi="仿宋_GB2312" w:eastAsia="仿宋_GB2312" w:cs="仿宋_GB2312"/>
                <w:snapToGrid/>
                <w:color w:val="auto"/>
                <w:kern w:val="0"/>
                <w:sz w:val="20"/>
                <w:szCs w:val="20"/>
                <w:lang w:val="en-US" w:eastAsia="zh-CN"/>
              </w:rPr>
              <w:t>对与本项目有关的通知，征集人将采用书面形式（包括但不限于书面材料、手机短信、电子邮件、信函、网上公告等方式，下同）或在本次征集公告刊登的媒体上发布公告的一种或多种形式，向潜在投标（响应）供应商发出。通知的接收方式（包括手机号码、收件地址、电子邮箱、网站公告等）以潜在投标（响应）供应商登记的信息为准。若因投标（响应）供应商信息登记错误、手机信号故障、手机无法接通等投标（响应）供应商自身原因，或其他意外情形，导致通知延迟送达或未能送达投标（响应）供应商，除非投标（响应）供应商能够提供充分证据证明：征集人已明知该通知应当送达但实际未有效到达，且征集人在仍有条件和必要及时补发的情况下，故意拖延或不予补发，否则征集人不因此承担任何责任，相关征集活动仍可继续有效进行。</w:t>
            </w:r>
          </w:p>
        </w:tc>
      </w:tr>
      <w:tr w14:paraId="0578F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shd w:val="clear" w:color="auto" w:fill="auto"/>
            <w:tcMar>
              <w:top w:w="0" w:type="dxa"/>
              <w:left w:w="105" w:type="dxa"/>
              <w:bottom w:w="0" w:type="dxa"/>
              <w:right w:w="105" w:type="dxa"/>
            </w:tcMar>
            <w:vAlign w:val="top"/>
          </w:tcPr>
          <w:p w14:paraId="6323124E">
            <w:pPr>
              <w:pStyle w:val="11"/>
              <w:jc w:val="both"/>
              <w:rPr>
                <w:rFonts w:hint="default"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22</w:t>
            </w:r>
          </w:p>
        </w:tc>
        <w:tc>
          <w:tcPr>
            <w:tcW w:w="1835" w:type="dxa"/>
            <w:shd w:val="clear" w:color="auto" w:fill="auto"/>
            <w:tcMar>
              <w:top w:w="0" w:type="dxa"/>
              <w:left w:w="105" w:type="dxa"/>
              <w:bottom w:w="0" w:type="dxa"/>
              <w:right w:w="105" w:type="dxa"/>
            </w:tcMar>
            <w:vAlign w:val="top"/>
          </w:tcPr>
          <w:p w14:paraId="34C9B53C">
            <w:pPr>
              <w:pStyle w:val="11"/>
              <w:jc w:val="both"/>
              <w:rPr>
                <w:rFonts w:hint="eastAsia" w:ascii="仿宋_GB2312" w:hAnsi="仿宋_GB2312" w:eastAsia="仿宋_GB2312" w:cs="仿宋_GB2312"/>
                <w:snapToGrid/>
                <w:color w:val="auto"/>
                <w:kern w:val="0"/>
                <w:sz w:val="20"/>
                <w:szCs w:val="20"/>
                <w:lang w:val="en-US" w:eastAsia="zh-CN"/>
              </w:rPr>
            </w:pPr>
            <w:r>
              <w:rPr>
                <w:rFonts w:hint="eastAsia" w:ascii="仿宋_GB2312" w:hAnsi="仿宋_GB2312" w:eastAsia="仿宋_GB2312" w:cs="仿宋_GB2312"/>
                <w:color w:val="auto"/>
                <w:lang w:val="en-US" w:eastAsia="zh-CN"/>
              </w:rPr>
              <w:t>征集失败的情形</w:t>
            </w:r>
          </w:p>
        </w:tc>
        <w:tc>
          <w:tcPr>
            <w:tcW w:w="5717" w:type="dxa"/>
            <w:shd w:val="clear" w:color="auto" w:fill="auto"/>
            <w:tcMar>
              <w:top w:w="0" w:type="dxa"/>
              <w:left w:w="105" w:type="dxa"/>
              <w:bottom w:w="0" w:type="dxa"/>
              <w:right w:w="105" w:type="dxa"/>
            </w:tcMar>
            <w:vAlign w:val="top"/>
          </w:tcPr>
          <w:p w14:paraId="03FE67D7">
            <w:pPr>
              <w:pStyle w:val="11"/>
              <w:jc w:val="both"/>
              <w:rPr>
                <w:rFonts w:hint="eastAsia"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在征集过程中，出现下列情形之一的，征集失败：</w:t>
            </w:r>
          </w:p>
          <w:p w14:paraId="352C78DE">
            <w:pPr>
              <w:pStyle w:val="11"/>
              <w:jc w:val="both"/>
              <w:rPr>
                <w:rFonts w:hint="eastAsia"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1.提交投标（响应）文件的供应商不足2家的或进入实质性评审阶段的供应商不足2家的；</w:t>
            </w:r>
          </w:p>
          <w:p w14:paraId="6BDC09EA">
            <w:pPr>
              <w:pStyle w:val="11"/>
              <w:jc w:val="both"/>
              <w:rPr>
                <w:rFonts w:hint="eastAsia"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2.投标（响应）报价符合“产品最高限制单价”要求的投标（响应）供应商不足2家的；</w:t>
            </w:r>
          </w:p>
          <w:p w14:paraId="2389ACDF">
            <w:pPr>
              <w:pStyle w:val="11"/>
              <w:jc w:val="both"/>
              <w:rPr>
                <w:rFonts w:hint="eastAsia"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3.出现影响采购公平、公正的违法、违规行为的；</w:t>
            </w:r>
          </w:p>
          <w:p w14:paraId="61EEED05">
            <w:pPr>
              <w:pStyle w:val="11"/>
              <w:jc w:val="both"/>
              <w:rPr>
                <w:rFonts w:hint="eastAsia" w:ascii="仿宋_GB2312" w:hAnsi="仿宋_GB2312" w:eastAsia="仿宋_GB2312" w:cs="仿宋_GB2312"/>
                <w:snapToGrid/>
                <w:color w:val="auto"/>
                <w:kern w:val="0"/>
                <w:sz w:val="20"/>
                <w:szCs w:val="20"/>
                <w:lang w:val="en-US" w:eastAsia="zh-CN"/>
              </w:rPr>
            </w:pPr>
            <w:r>
              <w:rPr>
                <w:rFonts w:hint="eastAsia" w:ascii="仿宋_GB2312" w:hAnsi="仿宋_GB2312" w:eastAsia="仿宋_GB2312" w:cs="仿宋_GB2312"/>
                <w:color w:val="auto"/>
                <w:lang w:val="en-US" w:eastAsia="zh-CN"/>
              </w:rPr>
              <w:t>4.因重大变故，采购任务取消的。</w:t>
            </w:r>
          </w:p>
        </w:tc>
      </w:tr>
      <w:tr w14:paraId="30510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shd w:val="clear" w:color="auto" w:fill="auto"/>
            <w:tcMar>
              <w:top w:w="0" w:type="dxa"/>
              <w:left w:w="105" w:type="dxa"/>
              <w:bottom w:w="0" w:type="dxa"/>
              <w:right w:w="105" w:type="dxa"/>
            </w:tcMar>
            <w:vAlign w:val="top"/>
          </w:tcPr>
          <w:p w14:paraId="76DD6CB9">
            <w:pPr>
              <w:pStyle w:val="11"/>
              <w:jc w:val="both"/>
              <w:rPr>
                <w:rFonts w:hint="default"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23</w:t>
            </w:r>
          </w:p>
        </w:tc>
        <w:tc>
          <w:tcPr>
            <w:tcW w:w="1835" w:type="dxa"/>
            <w:shd w:val="clear" w:color="auto" w:fill="auto"/>
            <w:tcMar>
              <w:top w:w="0" w:type="dxa"/>
              <w:left w:w="105" w:type="dxa"/>
              <w:bottom w:w="0" w:type="dxa"/>
              <w:right w:w="105" w:type="dxa"/>
            </w:tcMar>
            <w:vAlign w:val="top"/>
          </w:tcPr>
          <w:p w14:paraId="6AAB5B23">
            <w:pPr>
              <w:pStyle w:val="11"/>
              <w:jc w:val="both"/>
              <w:rPr>
                <w:rFonts w:hint="default"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其他规定</w:t>
            </w:r>
          </w:p>
        </w:tc>
        <w:tc>
          <w:tcPr>
            <w:tcW w:w="5717" w:type="dxa"/>
            <w:shd w:val="clear" w:color="auto" w:fill="auto"/>
            <w:tcMar>
              <w:top w:w="0" w:type="dxa"/>
              <w:left w:w="105" w:type="dxa"/>
              <w:bottom w:w="0" w:type="dxa"/>
              <w:right w:w="105" w:type="dxa"/>
            </w:tcMar>
            <w:vAlign w:val="top"/>
          </w:tcPr>
          <w:p w14:paraId="32E3D8FB">
            <w:pPr>
              <w:pStyle w:val="11"/>
              <w:jc w:val="both"/>
              <w:rPr>
                <w:rFonts w:hint="eastAsia" w:ascii="仿宋_GB2312" w:hAnsi="仿宋_GB2312" w:eastAsia="仿宋_GB2312" w:cs="仿宋_GB2312"/>
                <w:snapToGrid/>
                <w:color w:val="auto"/>
                <w:kern w:val="0"/>
                <w:sz w:val="20"/>
                <w:szCs w:val="20"/>
                <w:lang w:val="en-US" w:eastAsia="zh-CN"/>
              </w:rPr>
            </w:pPr>
            <w:r>
              <w:rPr>
                <w:rFonts w:hint="eastAsia" w:ascii="仿宋_GB2312" w:hAnsi="仿宋_GB2312" w:eastAsia="仿宋_GB2312" w:cs="仿宋_GB2312"/>
                <w:snapToGrid/>
                <w:color w:val="auto"/>
                <w:kern w:val="0"/>
                <w:sz w:val="20"/>
                <w:szCs w:val="20"/>
                <w:lang w:val="en-US" w:eastAsia="zh-CN"/>
              </w:rPr>
              <w:t>因投标（响应）文件字迹潦草或表达不清所引起的不利后果由投标（响应）供应商承担。</w:t>
            </w:r>
          </w:p>
        </w:tc>
      </w:tr>
    </w:tbl>
    <w:p w14:paraId="493CCB8F">
      <w:pPr>
        <w:pStyle w:val="11"/>
        <w:jc w:val="left"/>
        <w:outlineLvl w:val="2"/>
      </w:pPr>
      <w:r>
        <w:rPr>
          <w:rFonts w:ascii="仿宋_GB2312" w:hAnsi="仿宋_GB2312" w:eastAsia="仿宋_GB2312" w:cs="仿宋_GB2312"/>
          <w:b/>
          <w:sz w:val="28"/>
        </w:rPr>
        <w:t>二、解密、资格审查、评审和确定入围供应商</w:t>
      </w:r>
    </w:p>
    <w:p w14:paraId="06479AA8">
      <w:pPr>
        <w:pStyle w:val="11"/>
        <w:jc w:val="left"/>
      </w:pPr>
      <w:r>
        <w:rPr>
          <w:rFonts w:ascii="仿宋_GB2312" w:hAnsi="仿宋_GB2312" w:eastAsia="仿宋_GB2312" w:cs="仿宋_GB2312"/>
          <w:b/>
        </w:rPr>
        <w:t>（一）解密程序</w:t>
      </w:r>
    </w:p>
    <w:p w14:paraId="7A8A1B6E">
      <w:pPr>
        <w:pStyle w:val="11"/>
        <w:ind w:firstLine="480"/>
        <w:jc w:val="both"/>
      </w:pPr>
      <w:r>
        <w:rPr>
          <w:rFonts w:ascii="仿宋_GB2312" w:hAnsi="仿宋_GB2312" w:eastAsia="仿宋_GB2312" w:cs="仿宋_GB2312"/>
        </w:rPr>
        <w:t xml:space="preserve"> 1.</w:t>
      </w:r>
      <w:r>
        <w:rPr>
          <w:rFonts w:hint="eastAsia" w:ascii="仿宋_GB2312" w:hAnsi="仿宋_GB2312" w:eastAsia="仿宋_GB2312" w:cs="仿宋_GB2312"/>
          <w:lang w:eastAsia="zh-CN"/>
        </w:rPr>
        <w:t>投标（响应）</w:t>
      </w:r>
      <w:r>
        <w:rPr>
          <w:rFonts w:ascii="仿宋_GB2312" w:hAnsi="仿宋_GB2312" w:eastAsia="仿宋_GB2312" w:cs="仿宋_GB2312"/>
        </w:rPr>
        <w:t>文件提交截止时间后，成功提交</w:t>
      </w:r>
      <w:r>
        <w:rPr>
          <w:rFonts w:hint="eastAsia" w:ascii="仿宋_GB2312" w:hAnsi="仿宋_GB2312" w:eastAsia="仿宋_GB2312" w:cs="仿宋_GB2312"/>
          <w:lang w:eastAsia="zh-CN"/>
        </w:rPr>
        <w:t>投标（响应）</w:t>
      </w:r>
      <w:r>
        <w:rPr>
          <w:rFonts w:ascii="仿宋_GB2312" w:hAnsi="仿宋_GB2312" w:eastAsia="仿宋_GB2312" w:cs="仿宋_GB2312"/>
        </w:rPr>
        <w:t>文件的供应商符合征集文件规定数量的，征集人将启动</w:t>
      </w:r>
      <w:r>
        <w:rPr>
          <w:rFonts w:hint="eastAsia" w:ascii="仿宋_GB2312" w:hAnsi="仿宋_GB2312" w:eastAsia="仿宋_GB2312" w:cs="仿宋_GB2312"/>
          <w:lang w:eastAsia="zh-CN"/>
        </w:rPr>
        <w:t>投标（响应）</w:t>
      </w:r>
      <w:r>
        <w:rPr>
          <w:rFonts w:ascii="仿宋_GB2312" w:hAnsi="仿宋_GB2312" w:eastAsia="仿宋_GB2312" w:cs="仿宋_GB2312"/>
        </w:rPr>
        <w:t>文件解密程序，解密时间为解密时长60分钟；供应商应在规定的解密时间内，使用互认的证书及签章通过框架协议采购系统进行</w:t>
      </w:r>
      <w:r>
        <w:rPr>
          <w:rFonts w:hint="eastAsia" w:ascii="仿宋_GB2312" w:hAnsi="仿宋_GB2312" w:eastAsia="仿宋_GB2312" w:cs="仿宋_GB2312"/>
          <w:lang w:eastAsia="zh-CN"/>
        </w:rPr>
        <w:t>投标（响应）</w:t>
      </w:r>
      <w:r>
        <w:rPr>
          <w:rFonts w:ascii="仿宋_GB2312" w:hAnsi="仿宋_GB2312" w:eastAsia="仿宋_GB2312" w:cs="仿宋_GB2312"/>
        </w:rPr>
        <w:t>文件解密。供应商未在规定的解密时间内完成解密的，按无效</w:t>
      </w:r>
      <w:r>
        <w:rPr>
          <w:rFonts w:hint="eastAsia" w:ascii="仿宋_GB2312" w:hAnsi="仿宋_GB2312" w:eastAsia="仿宋_GB2312" w:cs="仿宋_GB2312"/>
          <w:lang w:eastAsia="zh-CN"/>
        </w:rPr>
        <w:t>投标（响应）</w:t>
      </w:r>
      <w:r>
        <w:rPr>
          <w:rFonts w:ascii="仿宋_GB2312" w:hAnsi="仿宋_GB2312" w:eastAsia="仿宋_GB2312" w:cs="仿宋_GB2312"/>
        </w:rPr>
        <w:t>处理。</w:t>
      </w:r>
    </w:p>
    <w:p w14:paraId="3A675B1B">
      <w:pPr>
        <w:pStyle w:val="11"/>
        <w:ind w:firstLine="480"/>
        <w:jc w:val="both"/>
      </w:pPr>
      <w:r>
        <w:rPr>
          <w:rFonts w:ascii="仿宋_GB2312" w:hAnsi="仿宋_GB2312" w:eastAsia="仿宋_GB2312" w:cs="仿宋_GB2312"/>
        </w:rPr>
        <w:t xml:space="preserve"> 2.成功进行</w:t>
      </w:r>
      <w:r>
        <w:rPr>
          <w:rFonts w:hint="eastAsia" w:ascii="仿宋_GB2312" w:hAnsi="仿宋_GB2312" w:eastAsia="仿宋_GB2312" w:cs="仿宋_GB2312"/>
          <w:lang w:eastAsia="zh-CN"/>
        </w:rPr>
        <w:t>投标（响应）</w:t>
      </w:r>
      <w:r>
        <w:rPr>
          <w:rFonts w:ascii="仿宋_GB2312" w:hAnsi="仿宋_GB2312" w:eastAsia="仿宋_GB2312" w:cs="仿宋_GB2312"/>
        </w:rPr>
        <w:t>文件解密的供应商少于 2 家的，征集人将</w:t>
      </w:r>
      <w:r>
        <w:rPr>
          <w:rFonts w:hint="eastAsia" w:ascii="仿宋_GB2312" w:hAnsi="仿宋_GB2312" w:eastAsia="仿宋_GB2312" w:cs="仿宋_GB2312"/>
          <w:lang w:val="en-US" w:eastAsia="zh-CN"/>
        </w:rPr>
        <w:t>对应采购包作征集失败</w:t>
      </w:r>
      <w:r>
        <w:rPr>
          <w:rFonts w:ascii="仿宋_GB2312" w:hAnsi="仿宋_GB2312" w:eastAsia="仿宋_GB2312" w:cs="仿宋_GB2312"/>
        </w:rPr>
        <w:t>处理。</w:t>
      </w:r>
    </w:p>
    <w:p w14:paraId="10BC4D74">
      <w:pPr>
        <w:pStyle w:val="11"/>
        <w:jc w:val="left"/>
      </w:pPr>
      <w:r>
        <w:rPr>
          <w:rFonts w:ascii="仿宋_GB2312" w:hAnsi="仿宋_GB2312" w:eastAsia="仿宋_GB2312" w:cs="仿宋_GB2312"/>
          <w:b/>
        </w:rPr>
        <w:t>（二）入围通知书</w:t>
      </w:r>
    </w:p>
    <w:p w14:paraId="4633F9F3">
      <w:pPr>
        <w:pStyle w:val="11"/>
        <w:ind w:firstLine="480"/>
        <w:jc w:val="both"/>
      </w:pPr>
      <w:r>
        <w:rPr>
          <w:rFonts w:ascii="仿宋_GB2312" w:hAnsi="仿宋_GB2312" w:eastAsia="仿宋_GB2312" w:cs="仿宋_GB2312"/>
        </w:rPr>
        <w:t xml:space="preserve"> 1.征集人或者评审委员会确定入围供应商后，在采购网发布入围结果公告、通过框架协议电子化采购系统发出入围通知书，入围供应商通过框架协议电子化采购系统获取入围通知书。</w:t>
      </w:r>
    </w:p>
    <w:p w14:paraId="128BD40F">
      <w:pPr>
        <w:pStyle w:val="11"/>
        <w:ind w:firstLine="480"/>
        <w:jc w:val="both"/>
      </w:pPr>
      <w:r>
        <w:rPr>
          <w:rFonts w:ascii="仿宋_GB2312" w:hAnsi="仿宋_GB2312" w:eastAsia="仿宋_GB2312" w:cs="仿宋_GB2312"/>
        </w:rPr>
        <w:t xml:space="preserve"> 2.入围通知书是征集人和入围供应商签订框架协议的依据，是框架协议的有效组成部分。如果出现政府采购法律法规、规章制度规定的入围无效情形的，将以公告形式宣布发出的入围通知书无效，入围通知书将自动失效。</w:t>
      </w:r>
    </w:p>
    <w:p w14:paraId="57632938">
      <w:pPr>
        <w:pStyle w:val="11"/>
        <w:ind w:firstLine="480"/>
        <w:jc w:val="both"/>
      </w:pPr>
      <w:r>
        <w:rPr>
          <w:rFonts w:ascii="仿宋_GB2312" w:hAnsi="仿宋_GB2312" w:eastAsia="仿宋_GB2312" w:cs="仿宋_GB2312"/>
        </w:rPr>
        <w:t xml:space="preserve"> 3.入围通知书对征集人和入围供应商均具有法律效力。</w:t>
      </w:r>
    </w:p>
    <w:p w14:paraId="000CEC55">
      <w:pPr>
        <w:pStyle w:val="11"/>
        <w:jc w:val="left"/>
        <w:outlineLvl w:val="2"/>
      </w:pPr>
      <w:r>
        <w:rPr>
          <w:rFonts w:ascii="仿宋_GB2312" w:hAnsi="仿宋_GB2312" w:eastAsia="仿宋_GB2312" w:cs="仿宋_GB2312"/>
          <w:b/>
          <w:sz w:val="28"/>
        </w:rPr>
        <w:t>三、用户反馈和评价机制</w:t>
      </w:r>
    </w:p>
    <w:p w14:paraId="4285309C">
      <w:pPr>
        <w:pStyle w:val="11"/>
        <w:ind w:firstLine="480"/>
        <w:jc w:val="both"/>
      </w:pPr>
      <w:r>
        <w:rPr>
          <w:rFonts w:ascii="仿宋_GB2312" w:hAnsi="仿宋_GB2312" w:eastAsia="仿宋_GB2312" w:cs="仿宋_GB2312"/>
        </w:rPr>
        <w:t xml:space="preserve"> 采购人将对入围供应商履行框架协议和采购合同情况进行反馈与评价，反馈和评价情况将向采购人公开，作为第二阶段直接选定成交供应商的参考。</w:t>
      </w:r>
    </w:p>
    <w:p w14:paraId="171BFFCF">
      <w:pPr>
        <w:pStyle w:val="11"/>
        <w:ind w:firstLine="480"/>
        <w:jc w:val="both"/>
      </w:pPr>
      <w:r>
        <w:rPr>
          <w:rFonts w:ascii="仿宋_GB2312" w:hAnsi="仿宋_GB2312" w:eastAsia="仿宋_GB2312" w:cs="仿宋_GB2312"/>
        </w:rPr>
        <w:t xml:space="preserve"> 征集人根据《政府采购框架协议采购方式管理暂行办法》规定，结合项目实际，建立对入围供应商、商品、代理商的评价反馈制度。</w:t>
      </w:r>
    </w:p>
    <w:p w14:paraId="119F9D00">
      <w:pPr>
        <w:pStyle w:val="11"/>
        <w:jc w:val="left"/>
        <w:outlineLvl w:val="2"/>
      </w:pPr>
      <w:r>
        <w:rPr>
          <w:rFonts w:ascii="仿宋_GB2312" w:hAnsi="仿宋_GB2312" w:eastAsia="仿宋_GB2312" w:cs="仿宋_GB2312"/>
          <w:b/>
          <w:sz w:val="28"/>
        </w:rPr>
        <w:t>四、入围供应商的清退和补充规则</w:t>
      </w:r>
    </w:p>
    <w:p w14:paraId="57B13DF2">
      <w:pPr>
        <w:pStyle w:val="11"/>
        <w:ind w:firstLine="480"/>
        <w:jc w:val="both"/>
      </w:pPr>
      <w:r>
        <w:rPr>
          <w:rFonts w:ascii="仿宋_GB2312" w:hAnsi="仿宋_GB2312" w:eastAsia="仿宋_GB2312" w:cs="仿宋_GB2312"/>
        </w:rPr>
        <w:t xml:space="preserve"> （一）入围供应商清退规则：</w:t>
      </w:r>
    </w:p>
    <w:p w14:paraId="164E3D28">
      <w:pPr>
        <w:pStyle w:val="11"/>
        <w:ind w:firstLine="480"/>
        <w:jc w:val="both"/>
      </w:pPr>
      <w:r>
        <w:rPr>
          <w:rFonts w:ascii="仿宋_GB2312" w:hAnsi="仿宋_GB2312" w:eastAsia="仿宋_GB2312" w:cs="仿宋_GB2312"/>
        </w:rPr>
        <w:t>入围供应商有下列情形之一，尚未签订框架协议的，取消其入围资格；已经签订框架协议的，解除与其签订的框架协议：</w:t>
      </w:r>
    </w:p>
    <w:p w14:paraId="3AD21743">
      <w:pPr>
        <w:pStyle w:val="11"/>
        <w:numPr>
          <w:ilvl w:val="0"/>
          <w:numId w:val="0"/>
        </w:numPr>
        <w:ind w:firstLine="400" w:firstLineChars="200"/>
        <w:jc w:val="both"/>
        <w:rPr>
          <w:rFonts w:ascii="仿宋_GB2312" w:hAnsi="仿宋_GB2312" w:eastAsia="仿宋_GB2312" w:cs="仿宋_GB2312"/>
        </w:rPr>
      </w:pPr>
      <w:r>
        <w:rPr>
          <w:rFonts w:hint="eastAsia" w:ascii="仿宋_GB2312" w:hAnsi="仿宋_GB2312" w:eastAsia="仿宋_GB2312" w:cs="仿宋_GB2312"/>
          <w:lang w:val="en-US" w:eastAsia="zh-CN"/>
        </w:rPr>
        <w:t>1.</w:t>
      </w:r>
      <w:r>
        <w:rPr>
          <w:rFonts w:ascii="仿宋_GB2312" w:hAnsi="仿宋_GB2312" w:eastAsia="仿宋_GB2312" w:cs="仿宋_GB2312"/>
        </w:rPr>
        <w:t>恶意串通谋取入围或者合同成交的；</w:t>
      </w:r>
    </w:p>
    <w:p w14:paraId="1F2F5EB2">
      <w:pPr>
        <w:pStyle w:val="11"/>
        <w:numPr>
          <w:ilvl w:val="0"/>
          <w:numId w:val="0"/>
        </w:numPr>
        <w:ind w:left="399" w:leftChars="190" w:firstLine="0" w:firstLineChars="0"/>
        <w:jc w:val="both"/>
        <w:rPr>
          <w:rFonts w:ascii="仿宋_GB2312" w:hAnsi="仿宋_GB2312" w:eastAsia="仿宋_GB2312" w:cs="仿宋_GB2312"/>
        </w:rPr>
      </w:pPr>
      <w:r>
        <w:rPr>
          <w:rFonts w:ascii="仿宋_GB2312" w:hAnsi="仿宋_GB2312" w:eastAsia="仿宋_GB2312" w:cs="仿宋_GB2312"/>
        </w:rPr>
        <w:t>2.提供虚假材料谋取入围或者合同成交的；</w:t>
      </w:r>
      <w:r>
        <w:rPr>
          <w:rFonts w:ascii="仿宋_GB2312" w:hAnsi="仿宋_GB2312" w:eastAsia="仿宋_GB2312" w:cs="仿宋_GB2312"/>
        </w:rPr>
        <w:br w:type="textWrapping"/>
      </w:r>
      <w:r>
        <w:rPr>
          <w:rFonts w:ascii="仿宋_GB2312" w:hAnsi="仿宋_GB2312" w:eastAsia="仿宋_GB2312" w:cs="仿宋_GB2312"/>
        </w:rPr>
        <w:t>3.无正当理由拒不接受合同授予的；</w:t>
      </w:r>
    </w:p>
    <w:p w14:paraId="03484E45">
      <w:pPr>
        <w:pStyle w:val="11"/>
        <w:numPr>
          <w:ilvl w:val="0"/>
          <w:numId w:val="0"/>
        </w:numPr>
        <w:ind w:firstLine="400" w:firstLineChars="200"/>
        <w:jc w:val="both"/>
        <w:rPr>
          <w:rFonts w:ascii="仿宋_GB2312" w:hAnsi="仿宋_GB2312" w:eastAsia="仿宋_GB2312" w:cs="仿宋_GB2312"/>
        </w:rPr>
      </w:pPr>
      <w:r>
        <w:rPr>
          <w:rFonts w:ascii="仿宋_GB2312" w:hAnsi="仿宋_GB2312" w:eastAsia="仿宋_GB2312" w:cs="仿宋_GB2312"/>
        </w:rPr>
        <w:t>4.不履行合同义务或者履行合同义务不符合约定，经采购人请求履行后仍不履行或者仍未按约定履行的；</w:t>
      </w:r>
    </w:p>
    <w:p w14:paraId="57C758DD">
      <w:pPr>
        <w:pStyle w:val="11"/>
        <w:numPr>
          <w:ilvl w:val="0"/>
          <w:numId w:val="0"/>
        </w:numPr>
        <w:ind w:firstLine="400" w:firstLineChars="200"/>
        <w:jc w:val="both"/>
        <w:rPr>
          <w:rFonts w:ascii="仿宋_GB2312" w:hAnsi="仿宋_GB2312" w:eastAsia="仿宋_GB2312" w:cs="仿宋_GB2312"/>
        </w:rPr>
      </w:pPr>
      <w:r>
        <w:rPr>
          <w:rFonts w:ascii="仿宋_GB2312" w:hAnsi="仿宋_GB2312" w:eastAsia="仿宋_GB2312" w:cs="仿宋_GB2312"/>
        </w:rPr>
        <w:t>5.框架协议有效期内，因违法行为被禁止或限制参加政府采购活动的；</w:t>
      </w:r>
    </w:p>
    <w:p w14:paraId="4320E588">
      <w:pPr>
        <w:pStyle w:val="11"/>
        <w:numPr>
          <w:ilvl w:val="0"/>
          <w:numId w:val="0"/>
        </w:numPr>
        <w:ind w:firstLine="400" w:firstLineChars="200"/>
        <w:jc w:val="both"/>
        <w:rPr>
          <w:rFonts w:ascii="仿宋_GB2312" w:hAnsi="仿宋_GB2312" w:eastAsia="仿宋_GB2312" w:cs="仿宋_GB2312"/>
        </w:rPr>
      </w:pPr>
      <w:r>
        <w:rPr>
          <w:rFonts w:ascii="仿宋_GB2312" w:hAnsi="仿宋_GB2312" w:eastAsia="仿宋_GB2312" w:cs="仿宋_GB2312"/>
        </w:rPr>
        <w:t>6.框架协议约定的其他情形。</w:t>
      </w:r>
    </w:p>
    <w:p w14:paraId="7674D304">
      <w:pPr>
        <w:pStyle w:val="11"/>
        <w:ind w:firstLine="480"/>
        <w:jc w:val="both"/>
      </w:pPr>
      <w:r>
        <w:rPr>
          <w:rFonts w:ascii="仿宋_GB2312" w:hAnsi="仿宋_GB2312" w:eastAsia="仿宋_GB2312" w:cs="仿宋_GB2312"/>
        </w:rPr>
        <w:t>被取消入围资格或者被解除框架协议的供应商不得参加同一封闭式框架协议补充征集。</w:t>
      </w:r>
    </w:p>
    <w:p w14:paraId="1DFADC43">
      <w:pPr>
        <w:pStyle w:val="11"/>
        <w:ind w:firstLine="480"/>
        <w:jc w:val="both"/>
      </w:pPr>
      <w:r>
        <w:rPr>
          <w:rFonts w:ascii="仿宋_GB2312" w:hAnsi="仿宋_GB2312" w:eastAsia="仿宋_GB2312" w:cs="仿宋_GB2312"/>
        </w:rPr>
        <w:t xml:space="preserve"> （二）入围供应商补充规则：</w:t>
      </w:r>
    </w:p>
    <w:p w14:paraId="0A5F5AE9">
      <w:pPr>
        <w:pStyle w:val="11"/>
        <w:ind w:firstLine="480"/>
        <w:jc w:val="left"/>
      </w:pPr>
      <w:r>
        <w:rPr>
          <w:rFonts w:ascii="仿宋_GB2312" w:hAnsi="仿宋_GB2312" w:eastAsia="仿宋_GB2312" w:cs="仿宋_GB2312"/>
        </w:rPr>
        <w:t>是否允许补充征集供应商： 是</w:t>
      </w:r>
    </w:p>
    <w:p w14:paraId="11264073">
      <w:pPr>
        <w:pStyle w:val="11"/>
        <w:ind w:firstLine="400" w:firstLineChars="200"/>
        <w:jc w:val="left"/>
      </w:pPr>
      <w:r>
        <w:rPr>
          <w:rFonts w:ascii="仿宋_GB2312" w:hAnsi="仿宋_GB2312" w:eastAsia="仿宋_GB2312" w:cs="仿宋_GB2312"/>
        </w:rPr>
        <w:t>若剩余的入围供应商不足入围供应商总数70%且影响框架协议执行的情形出现，征集人将报主管部门同意后补充征集供应商。补充征集规则在框架协议中约定，补充征集的条件、程序、评审方法和淘汰比例与初次征集相同。补充征集遵守原框架协议的有效期。补充征集期间，原框架协议继续履行。</w:t>
      </w:r>
    </w:p>
    <w:p w14:paraId="7AF8A03F">
      <w:pPr>
        <w:pStyle w:val="11"/>
        <w:jc w:val="left"/>
        <w:outlineLvl w:val="2"/>
      </w:pPr>
      <w:r>
        <w:rPr>
          <w:rFonts w:ascii="仿宋_GB2312" w:hAnsi="仿宋_GB2312" w:eastAsia="仿宋_GB2312" w:cs="仿宋_GB2312"/>
          <w:b/>
          <w:sz w:val="28"/>
        </w:rPr>
        <w:t>五、采购人是否可以授予非入围供应商参与合同规则</w:t>
      </w:r>
    </w:p>
    <w:p w14:paraId="22222559">
      <w:pPr>
        <w:pStyle w:val="11"/>
        <w:ind w:firstLine="480"/>
        <w:jc w:val="left"/>
      </w:pPr>
      <w:r>
        <w:rPr>
          <w:rFonts w:ascii="仿宋_GB2312" w:hAnsi="仿宋_GB2312" w:eastAsia="仿宋_GB2312" w:cs="仿宋_GB2312"/>
        </w:rPr>
        <w:t>可以，采购人证明能够以更低价格向非入围供应商采购相同货物，且入围供应商不同意将价格降至非入围供应商以下的，可以将合同授予非入围供应商。采购人将合同授予非入围供应商的，应当在确定成交供应商后1个工作日内，将成交结果抄送征集人，由征集人按照单笔公告要求发布成交结果公告。</w:t>
      </w:r>
    </w:p>
    <w:p w14:paraId="62FBBD9D">
      <w:pPr>
        <w:pStyle w:val="11"/>
        <w:jc w:val="left"/>
        <w:outlineLvl w:val="2"/>
      </w:pPr>
      <w:r>
        <w:rPr>
          <w:rFonts w:ascii="仿宋_GB2312" w:hAnsi="仿宋_GB2312" w:eastAsia="仿宋_GB2312" w:cs="仿宋_GB2312"/>
          <w:b/>
          <w:sz w:val="28"/>
        </w:rPr>
        <w:t>六、供应商信用信息</w:t>
      </w:r>
    </w:p>
    <w:p w14:paraId="28F31CEA">
      <w:pPr>
        <w:pStyle w:val="11"/>
        <w:ind w:firstLine="480"/>
        <w:jc w:val="left"/>
      </w:pPr>
      <w:r>
        <w:rPr>
          <w:rFonts w:ascii="仿宋_GB2312" w:hAnsi="仿宋_GB2312" w:eastAsia="仿宋_GB2312" w:cs="仿宋_GB2312"/>
        </w:rPr>
        <w:t xml:space="preserve"> （一）供应商信用信息查询渠道及截止时点</w:t>
      </w:r>
    </w:p>
    <w:p w14:paraId="5E761346">
      <w:pPr>
        <w:pStyle w:val="11"/>
        <w:ind w:firstLine="480"/>
        <w:jc w:val="left"/>
        <w:rPr>
          <w:rFonts w:ascii="仿宋_GB2312" w:hAnsi="仿宋_GB2312" w:eastAsia="仿宋_GB2312" w:cs="仿宋_GB2312"/>
        </w:rPr>
      </w:pPr>
      <w:r>
        <w:rPr>
          <w:rFonts w:ascii="仿宋_GB2312" w:hAnsi="仿宋_GB2312" w:eastAsia="仿宋_GB2312" w:cs="仿宋_GB2312"/>
        </w:rPr>
        <w:t xml:space="preserve"> </w:t>
      </w:r>
      <w:r>
        <w:rPr>
          <w:rFonts w:ascii="仿宋_GB2312" w:hAnsi="仿宋_GB2312" w:eastAsia="仿宋_GB2312" w:cs="仿宋_GB2312"/>
          <w:lang w:eastAsia="zh-CN"/>
        </w:rPr>
        <w:t>具体包括</w:t>
      </w:r>
      <w:r>
        <w:rPr>
          <w:rFonts w:hint="eastAsia" w:ascii="仿宋_GB2312" w:hAnsi="仿宋_GB2312" w:eastAsia="仿宋_GB2312" w:cs="仿宋_GB2312"/>
          <w:lang w:val="en-US" w:eastAsia="zh-CN"/>
        </w:rPr>
        <w:t>“信用中国”（www.creditchina.gov.cn，查询“信用服务”栏的“重大税收违法失信主体”“失信被执行人”或者下载信用信息报告），“中国政府采购网”（www.ccgp.gov.cn）中的“政府采购严重违法失信行为记录名单”，“深圳市政府采购监管网”（http://zfcg.sz.gov.cn）的严重违法失信信息</w:t>
      </w:r>
      <w:r>
        <w:rPr>
          <w:rFonts w:hint="eastAsia" w:ascii="仿宋_GB2312" w:hAnsi="仿宋_GB2312" w:eastAsia="仿宋_GB2312" w:cs="仿宋_GB2312"/>
          <w:lang w:eastAsia="zh-CN"/>
        </w:rPr>
        <w:t>以及财政部门认可的“供应商诚信档案库</w:t>
      </w:r>
      <w:r>
        <w:rPr>
          <w:rFonts w:hint="eastAsia" w:ascii="仿宋_GB2312" w:hAnsi="仿宋_GB2312" w:eastAsia="仿宋_GB2312" w:cs="仿宋_GB2312"/>
          <w:lang w:val="en-US" w:eastAsia="zh-CN"/>
        </w:rPr>
        <w:t>”为供应商信用信息的查询渠道，</w:t>
      </w:r>
      <w:r>
        <w:rPr>
          <w:rFonts w:ascii="仿宋_GB2312" w:hAnsi="仿宋_GB2312" w:eastAsia="仿宋_GB2312" w:cs="仿宋_GB2312"/>
        </w:rPr>
        <w:t>具体以开标当日上述渠道的全部查询结果为准。</w:t>
      </w:r>
    </w:p>
    <w:p w14:paraId="5CDD9FA5">
      <w:pPr>
        <w:pStyle w:val="11"/>
        <w:ind w:firstLine="480"/>
        <w:jc w:val="left"/>
      </w:pPr>
      <w:r>
        <w:rPr>
          <w:rFonts w:ascii="仿宋_GB2312" w:hAnsi="仿宋_GB2312" w:eastAsia="仿宋_GB2312" w:cs="仿宋_GB2312"/>
        </w:rPr>
        <w:t xml:space="preserve"> （二）信用信息查询记录和证据留存的具体方式</w:t>
      </w:r>
    </w:p>
    <w:p w14:paraId="2B9761DB">
      <w:pPr>
        <w:pStyle w:val="11"/>
        <w:ind w:firstLine="480"/>
        <w:jc w:val="left"/>
      </w:pPr>
      <w:r>
        <w:rPr>
          <w:rFonts w:ascii="仿宋_GB2312" w:hAnsi="仿宋_GB2312" w:eastAsia="仿宋_GB2312" w:cs="仿宋_GB2312"/>
        </w:rPr>
        <w:t xml:space="preserve"> 查询结果将以网页截图电子版形式留存并归档。</w:t>
      </w:r>
    </w:p>
    <w:p w14:paraId="208217DE">
      <w:pPr>
        <w:pStyle w:val="11"/>
        <w:ind w:firstLine="480"/>
        <w:jc w:val="left"/>
      </w:pPr>
      <w:r>
        <w:rPr>
          <w:rFonts w:ascii="仿宋_GB2312" w:hAnsi="仿宋_GB2312" w:eastAsia="仿宋_GB2312" w:cs="仿宋_GB2312"/>
        </w:rPr>
        <w:t xml:space="preserve"> （三）信用信息的使用规则</w:t>
      </w:r>
    </w:p>
    <w:p w14:paraId="6488AF7C">
      <w:pPr>
        <w:pStyle w:val="11"/>
        <w:ind w:firstLine="480"/>
        <w:jc w:val="left"/>
      </w:pPr>
      <w:r>
        <w:rPr>
          <w:rFonts w:ascii="仿宋_GB2312" w:hAnsi="仿宋_GB2312" w:eastAsia="仿宋_GB2312" w:cs="仿宋_GB2312"/>
        </w:rPr>
        <w:t xml:space="preserve"> 在进行资格审查时，查询供应商的信用记录，查询供应商是否具备参加本次采购活动的资格。</w:t>
      </w:r>
    </w:p>
    <w:p w14:paraId="47BD7DE4">
      <w:pPr>
        <w:pStyle w:val="11"/>
        <w:jc w:val="left"/>
        <w:outlineLvl w:val="2"/>
        <w:rPr>
          <w:rFonts w:hint="default" w:ascii="仿宋_GB2312" w:hAnsi="仿宋_GB2312" w:eastAsia="仿宋_GB2312" w:cs="仿宋_GB2312"/>
          <w:b/>
          <w:sz w:val="28"/>
          <w:lang w:val="en-US" w:eastAsia="zh-CN"/>
        </w:rPr>
      </w:pPr>
      <w:r>
        <w:rPr>
          <w:rFonts w:hint="eastAsia" w:ascii="仿宋_GB2312" w:hAnsi="仿宋_GB2312" w:eastAsia="仿宋_GB2312" w:cs="仿宋_GB2312"/>
          <w:b/>
          <w:sz w:val="28"/>
          <w:highlight w:val="none"/>
          <w:lang w:val="en-US" w:eastAsia="zh-CN"/>
        </w:rPr>
        <w:t>七、澄清、质疑和投诉</w:t>
      </w:r>
    </w:p>
    <w:p w14:paraId="036E0393">
      <w:pPr>
        <w:pStyle w:val="11"/>
        <w:ind w:firstLine="480"/>
        <w:jc w:val="both"/>
        <w:rPr>
          <w:rFonts w:ascii="仿宋_GB2312" w:hAnsi="仿宋_GB2312" w:eastAsia="仿宋_GB2312" w:cs="仿宋_GB2312"/>
        </w:rPr>
      </w:pPr>
      <w:r>
        <w:rPr>
          <w:rFonts w:hint="eastAsia" w:ascii="仿宋_GB2312" w:hAnsi="仿宋_GB2312" w:eastAsia="仿宋_GB2312" w:cs="仿宋_GB2312"/>
          <w:lang w:val="en-US" w:eastAsia="zh-CN"/>
        </w:rPr>
        <w:t>澄清</w:t>
      </w:r>
      <w:r>
        <w:rPr>
          <w:rFonts w:ascii="仿宋_GB2312" w:hAnsi="仿宋_GB2312" w:eastAsia="仿宋_GB2312" w:cs="仿宋_GB2312"/>
        </w:rPr>
        <w:t>、质疑、投诉的接收和处理严格按照《中华人民共和国政府采购法》《中华人民共和国政府采购法实施条例》《政府采购质疑和投诉办法》等规定办理。</w:t>
      </w:r>
    </w:p>
    <w:p w14:paraId="5C2AD29C">
      <w:pPr>
        <w:pStyle w:val="11"/>
        <w:ind w:firstLine="480"/>
        <w:jc w:val="left"/>
        <w:rPr>
          <w:rFonts w:ascii="仿宋_GB2312" w:hAnsi="仿宋_GB2312" w:eastAsia="仿宋_GB2312" w:cs="仿宋_GB2312"/>
        </w:rPr>
      </w:pPr>
      <w:r>
        <w:rPr>
          <w:rFonts w:hint="eastAsia" w:ascii="仿宋_GB2312" w:hAnsi="仿宋_GB2312" w:eastAsia="仿宋_GB2312" w:cs="仿宋_GB2312"/>
          <w:b w:val="0"/>
          <w:bCs w:val="0"/>
          <w:sz w:val="20"/>
          <w:szCs w:val="20"/>
          <w:lang w:eastAsia="zh-CN"/>
        </w:rPr>
        <w:t>（</w:t>
      </w:r>
      <w:r>
        <w:rPr>
          <w:rFonts w:hint="eastAsia" w:ascii="仿宋_GB2312" w:hAnsi="仿宋_GB2312" w:eastAsia="仿宋_GB2312" w:cs="仿宋_GB2312"/>
          <w:b w:val="0"/>
          <w:bCs w:val="0"/>
          <w:sz w:val="20"/>
          <w:szCs w:val="20"/>
          <w:lang w:val="en-US" w:eastAsia="zh-CN"/>
        </w:rPr>
        <w:t>一</w:t>
      </w:r>
      <w:r>
        <w:rPr>
          <w:rFonts w:hint="eastAsia" w:ascii="仿宋_GB2312" w:hAnsi="仿宋_GB2312" w:eastAsia="仿宋_GB2312" w:cs="仿宋_GB2312"/>
          <w:b w:val="0"/>
          <w:bCs w:val="0"/>
          <w:sz w:val="20"/>
          <w:szCs w:val="20"/>
          <w:lang w:eastAsia="zh-CN"/>
        </w:rPr>
        <w:t>）</w:t>
      </w:r>
      <w:r>
        <w:rPr>
          <w:rFonts w:ascii="仿宋_GB2312" w:hAnsi="仿宋_GB2312" w:eastAsia="仿宋_GB2312" w:cs="仿宋_GB2312"/>
          <w:sz w:val="20"/>
          <w:szCs w:val="20"/>
        </w:rPr>
        <w:t>澄清</w:t>
      </w:r>
    </w:p>
    <w:p w14:paraId="4B2109E4">
      <w:pPr>
        <w:pStyle w:val="11"/>
        <w:ind w:firstLine="480"/>
        <w:jc w:val="left"/>
        <w:rPr>
          <w:rFonts w:ascii="仿宋_GB2312" w:hAnsi="仿宋_GB2312" w:eastAsia="仿宋_GB2312" w:cs="仿宋_GB2312"/>
        </w:rPr>
      </w:pPr>
      <w:r>
        <w:rPr>
          <w:rFonts w:hint="eastAsia" w:ascii="仿宋_GB2312" w:hAnsi="仿宋_GB2312" w:eastAsia="仿宋_GB2312" w:cs="仿宋_GB2312"/>
          <w:lang w:val="en-US" w:eastAsia="zh-CN"/>
        </w:rPr>
        <w:t>1.供应商对征集活动事项有疑问的，可以向征集人提出澄清要求。</w:t>
      </w:r>
    </w:p>
    <w:p w14:paraId="429040BA">
      <w:pPr>
        <w:pStyle w:val="11"/>
        <w:ind w:firstLine="480"/>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（1）疑问可以通过电子邮件、邮寄、当面递交的书面形式或电话方式提出。以书面形式提出的，供应商应当明确需澄清的项目名称、编号、事项，并提供供应商名称、联系方式等信息。</w:t>
      </w:r>
    </w:p>
    <w:p w14:paraId="11278F86">
      <w:pPr>
        <w:pStyle w:val="11"/>
        <w:ind w:firstLine="480"/>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（2）供应商未提供有效的联系方式导致征集人无法按时答复的，征集人不对此承担任何责任。</w:t>
      </w:r>
    </w:p>
    <w:p w14:paraId="29329742">
      <w:pPr>
        <w:pStyle w:val="11"/>
        <w:ind w:firstLine="480"/>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（3）对供应商的疑问，征集人将进行答复，但答复的内容不涉及商业秘密或者依法应当保密的内容。</w:t>
      </w:r>
    </w:p>
    <w:p w14:paraId="228852D5">
      <w:pPr>
        <w:pStyle w:val="11"/>
        <w:ind w:firstLine="480"/>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2.供应商提出的疑问，应当明确疑问事项，如以书面形式提出的，应由供应商签字并加盖公章。</w:t>
      </w:r>
    </w:p>
    <w:p w14:paraId="14E0CA9F">
      <w:pPr>
        <w:pStyle w:val="11"/>
        <w:ind w:firstLine="480"/>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为提高采购效率，降低社会成本，鼓励澄清主体对于不损害国家及社会利益或自身合法权益的问题或情形采用疑问方式处理解决(包含但不限于文字错误、标点符号、不影响投标（响应）文件的编制的情形)。</w:t>
      </w:r>
    </w:p>
    <w:p w14:paraId="5DE2B9E4">
      <w:pPr>
        <w:pStyle w:val="11"/>
        <w:ind w:firstLine="480"/>
        <w:jc w:val="left"/>
        <w:rPr>
          <w:rFonts w:ascii="仿宋_GB2312" w:hAnsi="仿宋_GB2312" w:eastAsia="仿宋_GB2312" w:cs="仿宋_GB2312"/>
          <w:b w:val="0"/>
          <w:bCs w:val="0"/>
          <w:lang w:eastAsia="zh-CN"/>
        </w:rPr>
      </w:pPr>
      <w:r>
        <w:rPr>
          <w:rFonts w:hint="eastAsia" w:ascii="仿宋_GB2312" w:hAnsi="仿宋_GB2312" w:eastAsia="仿宋_GB2312" w:cs="仿宋_GB2312"/>
          <w:b w:val="0"/>
          <w:bCs w:val="0"/>
          <w:sz w:val="20"/>
          <w:szCs w:val="20"/>
          <w:lang w:eastAsia="zh-CN"/>
        </w:rPr>
        <w:t>（</w:t>
      </w:r>
      <w:r>
        <w:rPr>
          <w:rFonts w:hint="eastAsia" w:ascii="仿宋_GB2312" w:hAnsi="仿宋_GB2312" w:eastAsia="仿宋_GB2312" w:cs="仿宋_GB2312"/>
          <w:b w:val="0"/>
          <w:bCs w:val="0"/>
          <w:sz w:val="20"/>
          <w:szCs w:val="20"/>
          <w:lang w:val="en-US" w:eastAsia="zh-CN"/>
        </w:rPr>
        <w:t>二</w:t>
      </w:r>
      <w:r>
        <w:rPr>
          <w:rFonts w:hint="eastAsia" w:ascii="仿宋_GB2312" w:hAnsi="仿宋_GB2312" w:eastAsia="仿宋_GB2312" w:cs="仿宋_GB2312"/>
          <w:b w:val="0"/>
          <w:bCs w:val="0"/>
          <w:sz w:val="20"/>
          <w:szCs w:val="20"/>
          <w:lang w:eastAsia="zh-CN"/>
        </w:rPr>
        <w:t>）</w:t>
      </w:r>
      <w:r>
        <w:rPr>
          <w:rFonts w:ascii="仿宋_GB2312" w:hAnsi="仿宋_GB2312" w:eastAsia="仿宋_GB2312" w:cs="仿宋_GB2312"/>
          <w:b w:val="0"/>
          <w:bCs w:val="0"/>
          <w:sz w:val="20"/>
          <w:szCs w:val="20"/>
          <w:lang w:eastAsia="zh-CN"/>
        </w:rPr>
        <w:t>质疑</w:t>
      </w:r>
    </w:p>
    <w:p w14:paraId="6AE79608">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lang w:val="en-US" w:eastAsia="zh-CN"/>
        </w:rPr>
        <w:t>1.</w:t>
      </w:r>
      <w:r>
        <w:rPr>
          <w:rFonts w:hint="eastAsia" w:ascii="仿宋_GB2312" w:hAnsi="仿宋_GB2312" w:eastAsia="仿宋_GB2312" w:cs="仿宋_GB2312"/>
        </w:rPr>
        <w:t>提出质疑</w:t>
      </w:r>
    </w:p>
    <w:p w14:paraId="3EAD8F3F">
      <w:pPr>
        <w:pStyle w:val="11"/>
        <w:ind w:firstLine="480"/>
        <w:jc w:val="both"/>
        <w:rPr>
          <w:rFonts w:hint="eastAsia" w:ascii="仿宋_GB2312" w:hAnsi="仿宋_GB2312" w:eastAsia="仿宋_GB2312" w:cs="仿宋_GB2312"/>
          <w:highlight w:val="none"/>
        </w:rPr>
      </w:pPr>
      <w:r>
        <w:rPr>
          <w:rFonts w:hint="eastAsia" w:ascii="仿宋_GB2312" w:hAnsi="仿宋_GB2312" w:eastAsia="仿宋_GB2312" w:cs="仿宋_GB2312"/>
        </w:rPr>
        <w:t>参与政府采购活动的供应商认为自己的权益在采购活动中受到损害的，应当自知道或者应当知道其权益</w:t>
      </w:r>
      <w:r>
        <w:rPr>
          <w:rFonts w:hint="eastAsia" w:ascii="仿宋_GB2312" w:hAnsi="仿宋_GB2312" w:eastAsia="仿宋_GB2312" w:cs="仿宋_GB2312"/>
          <w:highlight w:val="none"/>
        </w:rPr>
        <w:t>受到损害之日起七个工作日内向</w:t>
      </w:r>
      <w:r>
        <w:rPr>
          <w:rFonts w:hint="eastAsia" w:ascii="仿宋_GB2312" w:hAnsi="仿宋_GB2312" w:eastAsia="仿宋_GB2312" w:cs="仿宋_GB2312"/>
          <w:highlight w:val="none"/>
          <w:lang w:val="en-US" w:eastAsia="zh-CN"/>
        </w:rPr>
        <w:t>征集人</w:t>
      </w:r>
      <w:r>
        <w:rPr>
          <w:rFonts w:hint="eastAsia" w:ascii="仿宋_GB2312" w:hAnsi="仿宋_GB2312" w:eastAsia="仿宋_GB2312" w:cs="仿宋_GB2312"/>
          <w:highlight w:val="none"/>
        </w:rPr>
        <w:t>以书面形式提出质疑。</w:t>
      </w:r>
    </w:p>
    <w:p w14:paraId="5915C251">
      <w:pPr>
        <w:pStyle w:val="11"/>
        <w:ind w:firstLine="480"/>
        <w:jc w:val="both"/>
        <w:rPr>
          <w:rFonts w:hint="eastAsia" w:ascii="仿宋_GB2312" w:hAnsi="仿宋_GB2312" w:eastAsia="仿宋_GB2312" w:cs="仿宋_GB2312"/>
          <w:highlight w:val="none"/>
        </w:rPr>
      </w:pPr>
      <w:r>
        <w:rPr>
          <w:rFonts w:hint="eastAsia" w:ascii="仿宋_GB2312" w:hAnsi="仿宋_GB2312" w:eastAsia="仿宋_GB2312" w:cs="仿宋_GB2312"/>
          <w:highlight w:val="none"/>
          <w:lang w:eastAsia="zh-CN"/>
        </w:rPr>
        <w:t>2</w:t>
      </w:r>
      <w:r>
        <w:rPr>
          <w:rFonts w:hint="eastAsia" w:ascii="仿宋_GB2312" w:hAnsi="仿宋_GB2312" w:eastAsia="仿宋_GB2312" w:cs="仿宋_GB2312"/>
          <w:highlight w:val="none"/>
          <w:lang w:val="en-US" w:eastAsia="zh-CN"/>
        </w:rPr>
        <w:t>.</w:t>
      </w:r>
      <w:r>
        <w:rPr>
          <w:rFonts w:hint="eastAsia" w:ascii="仿宋_GB2312" w:hAnsi="仿宋_GB2312" w:eastAsia="仿宋_GB2312" w:cs="仿宋_GB2312"/>
          <w:highlight w:val="none"/>
        </w:rPr>
        <w:t>法律依据</w:t>
      </w:r>
    </w:p>
    <w:p w14:paraId="14993907">
      <w:pPr>
        <w:pStyle w:val="11"/>
        <w:ind w:firstLine="480"/>
        <w:jc w:val="both"/>
        <w:rPr>
          <w:rFonts w:hint="eastAsia" w:ascii="仿宋_GB2312" w:hAnsi="仿宋_GB2312" w:eastAsia="仿宋_GB2312" w:cs="仿宋_GB2312"/>
          <w:highlight w:val="none"/>
        </w:rPr>
      </w:pPr>
      <w:r>
        <w:rPr>
          <w:rFonts w:hint="eastAsia" w:ascii="仿宋_GB2312" w:hAnsi="仿宋_GB2312" w:eastAsia="仿宋_GB2312" w:cs="仿宋_GB2312"/>
          <w:highlight w:val="none"/>
        </w:rPr>
        <w:t>《中华人民共和国政府采购法》、《中华人民共和国政府采购法实施条例》、《深圳经济特区政府采购条例》、《深圳经济特区政府采购条例实施细则》、《政府采购质疑和投诉办法》（财政部令第94号）和其他有关法律法规规定。</w:t>
      </w:r>
    </w:p>
    <w:p w14:paraId="79829895">
      <w:pPr>
        <w:pStyle w:val="11"/>
        <w:ind w:firstLine="480"/>
        <w:jc w:val="both"/>
        <w:rPr>
          <w:rFonts w:hint="eastAsia" w:ascii="仿宋_GB2312" w:hAnsi="仿宋_GB2312" w:eastAsia="仿宋_GB2312" w:cs="仿宋_GB2312"/>
          <w:highlight w:val="none"/>
        </w:rPr>
      </w:pPr>
      <w:r>
        <w:rPr>
          <w:rFonts w:hint="eastAsia" w:ascii="仿宋_GB2312" w:hAnsi="仿宋_GB2312" w:eastAsia="仿宋_GB2312" w:cs="仿宋_GB2312"/>
          <w:highlight w:val="none"/>
          <w:lang w:eastAsia="zh-CN"/>
        </w:rPr>
        <w:t>3</w:t>
      </w:r>
      <w:r>
        <w:rPr>
          <w:rFonts w:hint="eastAsia" w:ascii="仿宋_GB2312" w:hAnsi="仿宋_GB2312" w:eastAsia="仿宋_GB2312" w:cs="仿宋_GB2312"/>
          <w:highlight w:val="none"/>
          <w:lang w:val="en-US" w:eastAsia="zh-CN"/>
        </w:rPr>
        <w:t>.</w:t>
      </w:r>
      <w:r>
        <w:rPr>
          <w:rFonts w:hint="eastAsia" w:ascii="仿宋_GB2312" w:hAnsi="仿宋_GB2312" w:eastAsia="仿宋_GB2312" w:cs="仿宋_GB2312"/>
          <w:highlight w:val="none"/>
        </w:rPr>
        <w:t>质疑条件</w:t>
      </w:r>
    </w:p>
    <w:p w14:paraId="198EF486">
      <w:pPr>
        <w:pStyle w:val="11"/>
        <w:ind w:firstLine="480"/>
        <w:jc w:val="both"/>
        <w:rPr>
          <w:rFonts w:ascii="仿宋_GB2312" w:hAnsi="仿宋_GB2312" w:eastAsia="仿宋_GB2312" w:cs="仿宋_GB2312"/>
        </w:rPr>
      </w:pPr>
      <w:r>
        <w:rPr>
          <w:rFonts w:hint="eastAsia" w:ascii="仿宋_GB2312" w:hAnsi="仿宋_GB2312" w:eastAsia="仿宋_GB2312" w:cs="仿宋_GB2312"/>
        </w:rPr>
        <w:t>提出质疑的供应商应当是参与所质疑项目采购活动的供应商；以联合体形式参与的，质疑应当由组成联合体的所有成员共同提出；</w:t>
      </w:r>
    </w:p>
    <w:p w14:paraId="15DC2A03">
      <w:pPr>
        <w:pStyle w:val="11"/>
        <w:ind w:firstLine="480"/>
        <w:jc w:val="both"/>
        <w:rPr>
          <w:rFonts w:hint="eastAsia" w:ascii="仿宋_GB2312" w:hAnsi="仿宋_GB2312" w:eastAsia="仿宋_GB2312" w:cs="仿宋_GB2312"/>
          <w:lang w:val="en-US" w:eastAsia="zh-CN"/>
        </w:rPr>
      </w:pPr>
      <w:r>
        <w:rPr>
          <w:rFonts w:ascii="仿宋_GB2312" w:hAnsi="仿宋_GB2312" w:eastAsia="仿宋_GB2312" w:cs="仿宋_GB2312"/>
        </w:rPr>
        <w:t>供应商应在法定质疑期内一次性</w:t>
      </w:r>
      <w:r>
        <w:rPr>
          <w:rFonts w:hint="eastAsia" w:ascii="仿宋_GB2312" w:hAnsi="仿宋_GB2312" w:eastAsia="仿宋_GB2312" w:cs="仿宋_GB2312"/>
        </w:rPr>
        <w:t>提出针对同一</w:t>
      </w:r>
      <w:r>
        <w:rPr>
          <w:rFonts w:hint="eastAsia" w:ascii="仿宋_GB2312" w:hAnsi="仿宋_GB2312" w:eastAsia="仿宋_GB2312" w:cs="仿宋_GB2312"/>
          <w:lang w:val="en-US" w:eastAsia="zh-CN"/>
        </w:rPr>
        <w:t>征集</w:t>
      </w:r>
      <w:r>
        <w:rPr>
          <w:rFonts w:hint="eastAsia" w:ascii="仿宋_GB2312" w:hAnsi="仿宋_GB2312" w:eastAsia="仿宋_GB2312" w:cs="仿宋_GB2312"/>
        </w:rPr>
        <w:t>程序环节的质疑</w:t>
      </w:r>
      <w:r>
        <w:rPr>
          <w:rFonts w:ascii="仿宋_GB2312" w:hAnsi="仿宋_GB2312" w:eastAsia="仿宋_GB2312" w:cs="仿宋_GB2312"/>
        </w:rPr>
        <w:t>。</w:t>
      </w:r>
      <w:r>
        <w:rPr>
          <w:rFonts w:hint="eastAsia" w:ascii="仿宋_GB2312" w:hAnsi="仿宋_GB2312" w:eastAsia="仿宋_GB2312" w:cs="仿宋_GB2312"/>
          <w:lang w:val="en-US" w:eastAsia="zh-CN"/>
        </w:rPr>
        <w:t>法定质疑期为自知道或应当知道权益受到损害之日起7个工作日内。应当知道其权益受到损害之日是指：对征集文件的质疑，为征集文件公布之日；对征集过程的质疑，为各征集程序环节结束之日；对入围结果以及评审委员会组成人员的质疑，为入围结果公示之日。</w:t>
      </w:r>
    </w:p>
    <w:p w14:paraId="713E3912">
      <w:pPr>
        <w:pStyle w:val="11"/>
        <w:ind w:firstLine="480"/>
        <w:jc w:val="both"/>
        <w:rPr>
          <w:rFonts w:hint="eastAsia" w:ascii="仿宋_GB2312" w:hAnsi="仿宋_GB2312" w:eastAsia="仿宋_GB2312" w:cs="仿宋_GB2312"/>
          <w:lang w:val="en-US" w:eastAsia="zh-CN"/>
        </w:rPr>
      </w:pPr>
      <w:r>
        <w:rPr>
          <w:rFonts w:hint="eastAsia" w:ascii="仿宋_GB2312" w:hAnsi="仿宋_GB2312" w:eastAsia="仿宋_GB2312" w:cs="仿宋_GB2312"/>
          <w:sz w:val="20"/>
          <w:szCs w:val="20"/>
          <w:lang w:eastAsia="zh-CN"/>
        </w:rPr>
        <w:t>4</w:t>
      </w:r>
      <w:r>
        <w:rPr>
          <w:rFonts w:hint="eastAsia" w:ascii="仿宋_GB2312" w:hAnsi="仿宋_GB2312" w:eastAsia="仿宋_GB2312" w:cs="仿宋_GB2312"/>
          <w:sz w:val="20"/>
          <w:szCs w:val="20"/>
          <w:lang w:val="en-US" w:eastAsia="zh-CN"/>
        </w:rPr>
        <w:t>.</w:t>
      </w:r>
      <w:r>
        <w:rPr>
          <w:rFonts w:ascii="仿宋_GB2312" w:hAnsi="仿宋_GB2312" w:eastAsia="仿宋_GB2312" w:cs="仿宋_GB2312"/>
          <w:sz w:val="20"/>
          <w:szCs w:val="20"/>
          <w:lang w:eastAsia="zh-CN"/>
        </w:rPr>
        <w:t>本项目不接受在线提交质疑，供应商通过书面形式线下向征集人提交质疑资料。</w:t>
      </w:r>
    </w:p>
    <w:p w14:paraId="509F7C6B">
      <w:pPr>
        <w:pStyle w:val="11"/>
        <w:ind w:firstLine="480"/>
        <w:jc w:val="both"/>
      </w:pPr>
      <w:r>
        <w:rPr>
          <w:rFonts w:hint="eastAsia" w:ascii="仿宋_GB2312" w:hAnsi="仿宋_GB2312" w:eastAsia="仿宋_GB2312" w:cs="仿宋_GB2312"/>
          <w:lang w:val="en-US" w:eastAsia="zh-CN"/>
        </w:rPr>
        <w:t>5.</w:t>
      </w:r>
      <w:r>
        <w:rPr>
          <w:rFonts w:ascii="仿宋_GB2312" w:hAnsi="仿宋_GB2312" w:eastAsia="仿宋_GB2312" w:cs="仿宋_GB2312"/>
        </w:rPr>
        <w:t>供应商提出质疑时应当准备的资料</w:t>
      </w:r>
      <w:r>
        <w:rPr>
          <w:rFonts w:hint="eastAsia" w:ascii="仿宋_GB2312" w:hAnsi="仿宋_GB2312" w:eastAsia="仿宋_GB2312" w:cs="仿宋_GB2312"/>
          <w:lang w:eastAsia="zh-CN"/>
        </w:rPr>
        <w:t>：</w:t>
      </w:r>
      <w:r>
        <w:rPr>
          <w:rFonts w:ascii="仿宋_GB2312" w:hAnsi="仿宋_GB2312" w:eastAsia="仿宋_GB2312" w:cs="仿宋_GB2312"/>
        </w:rPr>
        <w:t>请质疑供应商根据深圳公共资源交易中心网页（https://www.szggzy.com/globalSearch/details.html?contentId=1211037）所发布的质疑指引、质疑函模板填写质疑函并提交质疑材料</w:t>
      </w:r>
      <w:r>
        <w:rPr>
          <w:rFonts w:hint="eastAsia" w:ascii="仿宋_GB2312" w:hAnsi="仿宋_GB2312" w:eastAsia="仿宋_GB2312" w:cs="仿宋_GB2312"/>
          <w:lang w:eastAsia="zh-CN"/>
        </w:rPr>
        <w:t>。</w:t>
      </w:r>
    </w:p>
    <w:p w14:paraId="2692F63A">
      <w:pPr>
        <w:pStyle w:val="11"/>
        <w:ind w:firstLine="480"/>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6.质疑收文地点</w:t>
      </w:r>
      <w:r>
        <w:rPr>
          <w:rFonts w:ascii="仿宋_GB2312" w:hAnsi="仿宋_GB2312" w:eastAsia="仿宋_GB2312" w:cs="仿宋_GB2312"/>
        </w:rPr>
        <w:t>：</w:t>
      </w:r>
      <w:r>
        <w:rPr>
          <w:rFonts w:hint="eastAsia" w:ascii="仿宋_GB2312" w:hAnsi="仿宋_GB2312" w:eastAsia="仿宋_GB2312" w:cs="仿宋_GB2312"/>
        </w:rPr>
        <w:t>深圳市南山区沙河西路3185号南山智谷A座（深圳交易集团总部大楼）27楼</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质疑咨询电话：0755-86500054、0755-86500050</w:t>
      </w:r>
    </w:p>
    <w:p w14:paraId="7ED64E65">
      <w:pPr>
        <w:pStyle w:val="11"/>
        <w:ind w:firstLine="480"/>
        <w:jc w:val="both"/>
        <w:rPr>
          <w:rFonts w:hint="eastAsia" w:ascii="仿宋_GB2312" w:hAnsi="仿宋_GB2312" w:eastAsia="仿宋_GB2312" w:cs="仿宋_GB2312"/>
        </w:rPr>
      </w:pPr>
      <w:r>
        <w:rPr>
          <w:rFonts w:ascii="仿宋_GB2312" w:hAnsi="仿宋_GB2312" w:eastAsia="仿宋_GB2312" w:cs="仿宋_GB2312"/>
        </w:rPr>
        <w:t>邮</w:t>
      </w:r>
      <w:r>
        <w:rPr>
          <w:rFonts w:hint="eastAsia" w:ascii="仿宋_GB2312" w:hAnsi="仿宋_GB2312" w:eastAsia="仿宋_GB2312" w:cs="仿宋_GB2312"/>
        </w:rPr>
        <w:t>编：518000</w:t>
      </w:r>
    </w:p>
    <w:p w14:paraId="3D761491">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注：根据《政府采购质疑和投诉办法》的规定，供应商质疑不得超出征集文件、</w:t>
      </w:r>
      <w:r>
        <w:rPr>
          <w:rFonts w:hint="eastAsia" w:ascii="仿宋_GB2312" w:hAnsi="仿宋_GB2312" w:eastAsia="仿宋_GB2312" w:cs="仿宋_GB2312"/>
          <w:lang w:val="en-US" w:eastAsia="zh-CN"/>
        </w:rPr>
        <w:t>征集</w:t>
      </w:r>
      <w:r>
        <w:rPr>
          <w:rFonts w:hint="eastAsia" w:ascii="仿宋_GB2312" w:hAnsi="仿宋_GB2312" w:eastAsia="仿宋_GB2312" w:cs="仿宋_GB2312"/>
        </w:rPr>
        <w:t>过程、</w:t>
      </w:r>
      <w:r>
        <w:rPr>
          <w:rFonts w:hint="eastAsia" w:ascii="仿宋_GB2312" w:hAnsi="仿宋_GB2312" w:eastAsia="仿宋_GB2312" w:cs="仿宋_GB2312"/>
          <w:lang w:val="en-US" w:eastAsia="zh-CN"/>
        </w:rPr>
        <w:t>征集</w:t>
      </w:r>
      <w:r>
        <w:rPr>
          <w:rFonts w:hint="eastAsia" w:ascii="仿宋_GB2312" w:hAnsi="仿宋_GB2312" w:eastAsia="仿宋_GB2312" w:cs="仿宋_GB2312"/>
        </w:rPr>
        <w:t>结果的范围。</w:t>
      </w:r>
    </w:p>
    <w:p w14:paraId="407DE5AE">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lang w:val="en-US" w:eastAsia="zh-CN"/>
        </w:rPr>
        <w:t>7.质疑</w:t>
      </w:r>
      <w:r>
        <w:rPr>
          <w:rFonts w:hint="eastAsia" w:ascii="仿宋_GB2312" w:hAnsi="仿宋_GB2312" w:eastAsia="仿宋_GB2312" w:cs="仿宋_GB2312"/>
        </w:rPr>
        <w:t>收文办理程序</w:t>
      </w:r>
    </w:p>
    <w:p w14:paraId="0626987E">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供应商提交的质疑符合受理条件的，</w:t>
      </w:r>
      <w:r>
        <w:rPr>
          <w:rFonts w:hint="eastAsia" w:ascii="仿宋_GB2312" w:hAnsi="仿宋_GB2312" w:eastAsia="仿宋_GB2312" w:cs="仿宋_GB2312"/>
          <w:lang w:val="en-US" w:eastAsia="zh-CN"/>
        </w:rPr>
        <w:t>征集人</w:t>
      </w:r>
      <w:r>
        <w:rPr>
          <w:rFonts w:hint="eastAsia" w:ascii="仿宋_GB2312" w:hAnsi="仿宋_GB2312" w:eastAsia="仿宋_GB2312" w:cs="仿宋_GB2312"/>
        </w:rPr>
        <w:t>自收到质疑材料之日起即为受理，应当向供应商出具质疑函收文回执并可以要求其递交质疑的法定代表人（负责人）或者授权代理人签署质疑文书送达地址确认书。</w:t>
      </w:r>
    </w:p>
    <w:p w14:paraId="6AD3C938">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供应商提交的质疑材料不符合质疑条件的，视情况处理：</w:t>
      </w:r>
    </w:p>
    <w:p w14:paraId="294367C5">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供应商提交的质疑材料不全或者未按要求签字或者盖章的，征集人应当一次性告知供应商需补正的内容和补正期限。</w:t>
      </w:r>
    </w:p>
    <w:p w14:paraId="1C4F727B">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供应商提交的质疑存在下列情形之一的，不予受理：</w:t>
      </w:r>
    </w:p>
    <w:p w14:paraId="24A1B8E7">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（1）质疑主体不满足要求的；</w:t>
      </w:r>
    </w:p>
    <w:p w14:paraId="11A72612">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（2）供应商自身权益未受到损害的；</w:t>
      </w:r>
    </w:p>
    <w:p w14:paraId="6A01A83A">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（3）供应商未在法定质疑期限内提出质疑的；</w:t>
      </w:r>
    </w:p>
    <w:p w14:paraId="579D41D1">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（4）质疑材料不全或者未按要求签字或者盖章的情况下，要求补正后，逾期未补正或者补正后仍不符合规定的；</w:t>
      </w:r>
    </w:p>
    <w:p w14:paraId="05D3D4A3">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（5）其他不符合受理条件情形的。</w:t>
      </w:r>
    </w:p>
    <w:p w14:paraId="4E4888A3">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质疑事项不予受理的，征集人应当向供应商出具不符合质疑条件告知书。</w:t>
      </w:r>
    </w:p>
    <w:p w14:paraId="0382F74B">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lang w:val="en-US" w:eastAsia="zh-CN"/>
        </w:rPr>
        <w:t>8.</w:t>
      </w:r>
      <w:r>
        <w:rPr>
          <w:rFonts w:hint="eastAsia" w:ascii="仿宋_GB2312" w:hAnsi="仿宋_GB2312" w:eastAsia="仿宋_GB2312" w:cs="仿宋_GB2312"/>
        </w:rPr>
        <w:t>质疑答复时限</w:t>
      </w:r>
    </w:p>
    <w:p w14:paraId="6E997563">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自收文之日起七个工作日内。</w:t>
      </w:r>
    </w:p>
    <w:p w14:paraId="533216FC">
      <w:pPr>
        <w:pStyle w:val="11"/>
        <w:ind w:firstLine="480"/>
        <w:jc w:val="left"/>
        <w:rPr>
          <w:rFonts w:hint="eastAsia" w:ascii="仿宋_GB2312" w:hAnsi="仿宋_GB2312" w:eastAsia="仿宋_GB2312" w:cs="仿宋_GB2312"/>
          <w:b w:val="0"/>
          <w:sz w:val="20"/>
          <w:lang w:val="en-US" w:eastAsia="zh-CN"/>
        </w:rPr>
      </w:pPr>
      <w:r>
        <w:rPr>
          <w:rFonts w:hint="eastAsia" w:ascii="仿宋_GB2312" w:hAnsi="仿宋_GB2312" w:eastAsia="仿宋_GB2312" w:cs="仿宋_GB2312"/>
          <w:b w:val="0"/>
          <w:bCs w:val="0"/>
          <w:sz w:val="20"/>
          <w:szCs w:val="20"/>
          <w:lang w:eastAsia="zh-CN"/>
        </w:rPr>
        <w:t>（</w:t>
      </w:r>
      <w:r>
        <w:rPr>
          <w:rFonts w:hint="eastAsia" w:ascii="仿宋_GB2312" w:hAnsi="仿宋_GB2312" w:eastAsia="仿宋_GB2312" w:cs="仿宋_GB2312"/>
          <w:b w:val="0"/>
          <w:bCs w:val="0"/>
          <w:sz w:val="20"/>
          <w:szCs w:val="20"/>
          <w:lang w:val="en-US" w:eastAsia="zh-CN"/>
        </w:rPr>
        <w:t>三</w:t>
      </w:r>
      <w:r>
        <w:rPr>
          <w:rFonts w:hint="eastAsia" w:ascii="仿宋_GB2312" w:hAnsi="仿宋_GB2312" w:eastAsia="仿宋_GB2312" w:cs="仿宋_GB2312"/>
          <w:b w:val="0"/>
          <w:bCs w:val="0"/>
          <w:sz w:val="20"/>
          <w:szCs w:val="20"/>
          <w:lang w:eastAsia="zh-CN"/>
        </w:rPr>
        <w:t>）</w:t>
      </w:r>
      <w:r>
        <w:rPr>
          <w:rFonts w:hint="eastAsia" w:ascii="仿宋_GB2312" w:hAnsi="仿宋_GB2312" w:eastAsia="仿宋_GB2312" w:cs="仿宋_GB2312"/>
          <w:b w:val="0"/>
          <w:bCs w:val="0"/>
          <w:sz w:val="20"/>
          <w:szCs w:val="20"/>
          <w:lang w:val="en-US" w:eastAsia="zh-CN"/>
        </w:rPr>
        <w:t>投诉</w:t>
      </w:r>
    </w:p>
    <w:p w14:paraId="1DC19070">
      <w:pPr>
        <w:pStyle w:val="11"/>
        <w:ind w:firstLine="480"/>
        <w:jc w:val="both"/>
        <w:rPr>
          <w:rFonts w:hint="eastAsia" w:ascii="仿宋_GB2312" w:hAnsi="仿宋_GB2312" w:eastAsia="仿宋_GB2312" w:cs="仿宋_GB2312"/>
          <w:b/>
          <w:sz w:val="28"/>
          <w:lang w:val="en-US" w:eastAsia="zh-CN"/>
        </w:rPr>
      </w:pPr>
      <w:r>
        <w:rPr>
          <w:rFonts w:hint="eastAsia" w:ascii="仿宋_GB2312" w:hAnsi="仿宋_GB2312" w:eastAsia="仿宋_GB2312" w:cs="仿宋_GB2312"/>
        </w:rPr>
        <w:t>投诉受理单位：供应商对征集人的质疑答复不满意，或者征集人未在规定期限内作出</w:t>
      </w:r>
      <w:r>
        <w:rPr>
          <w:rFonts w:ascii="仿宋_GB2312" w:hAnsi="仿宋_GB2312" w:eastAsia="仿宋_GB2312" w:cs="仿宋_GB2312"/>
        </w:rPr>
        <w:t>答复的，供应商可以在答复期满后15个工作日内向本级</w:t>
      </w:r>
      <w:r>
        <w:rPr>
          <w:rFonts w:hint="eastAsia" w:ascii="仿宋_GB2312" w:hAnsi="仿宋_GB2312" w:eastAsia="仿宋_GB2312" w:cs="仿宋_GB2312"/>
          <w:lang w:val="en-US" w:eastAsia="zh-CN"/>
        </w:rPr>
        <w:t>财政</w:t>
      </w:r>
      <w:r>
        <w:rPr>
          <w:rFonts w:ascii="仿宋_GB2312" w:hAnsi="仿宋_GB2312" w:eastAsia="仿宋_GB2312" w:cs="仿宋_GB2312"/>
        </w:rPr>
        <w:t>部门提出投诉。</w:t>
      </w:r>
    </w:p>
    <w:p w14:paraId="0738A11A">
      <w:pPr>
        <w:pStyle w:val="11"/>
        <w:jc w:val="left"/>
        <w:outlineLvl w:val="2"/>
      </w:pPr>
      <w:r>
        <w:rPr>
          <w:rFonts w:hint="eastAsia" w:ascii="仿宋_GB2312" w:hAnsi="仿宋_GB2312" w:eastAsia="仿宋_GB2312" w:cs="仿宋_GB2312"/>
          <w:b/>
          <w:sz w:val="28"/>
          <w:lang w:val="en-US" w:eastAsia="zh-CN"/>
        </w:rPr>
        <w:t>八</w:t>
      </w:r>
      <w:r>
        <w:rPr>
          <w:rFonts w:ascii="仿宋_GB2312" w:hAnsi="仿宋_GB2312" w:eastAsia="仿宋_GB2312" w:cs="仿宋_GB2312"/>
          <w:b/>
          <w:sz w:val="28"/>
        </w:rPr>
        <w:t>、其他事项</w:t>
      </w:r>
    </w:p>
    <w:p w14:paraId="4B8922C1">
      <w:pPr>
        <w:pStyle w:val="11"/>
        <w:ind w:firstLine="480"/>
        <w:jc w:val="left"/>
      </w:pPr>
      <w:r>
        <w:rPr>
          <w:rFonts w:ascii="仿宋_GB2312" w:hAnsi="仿宋_GB2312" w:eastAsia="仿宋_GB2312" w:cs="仿宋_GB2312"/>
          <w:b/>
        </w:rPr>
        <w:t xml:space="preserve"> 1.框架协议执行方式</w:t>
      </w:r>
    </w:p>
    <w:p w14:paraId="74AA6F60">
      <w:pPr>
        <w:pStyle w:val="11"/>
        <w:ind w:firstLine="480"/>
        <w:jc w:val="left"/>
      </w:pPr>
      <w:r>
        <w:rPr>
          <w:rFonts w:ascii="仿宋_GB2312" w:hAnsi="仿宋_GB2312" w:eastAsia="仿宋_GB2312" w:cs="仿宋_GB2312"/>
        </w:rPr>
        <w:t xml:space="preserve"> （1）第一阶段</w:t>
      </w:r>
    </w:p>
    <w:p w14:paraId="1EE21504">
      <w:pPr>
        <w:pStyle w:val="11"/>
        <w:ind w:firstLine="480"/>
        <w:jc w:val="left"/>
      </w:pPr>
      <w:r>
        <w:rPr>
          <w:rFonts w:ascii="仿宋_GB2312" w:hAnsi="仿宋_GB2312" w:eastAsia="仿宋_GB2312" w:cs="仿宋_GB2312"/>
        </w:rPr>
        <w:t xml:space="preserve"> 本项目为框架协议实施的第一阶段，</w:t>
      </w:r>
      <w:r>
        <w:rPr>
          <w:rFonts w:hint="eastAsia" w:ascii="仿宋_GB2312" w:hAnsi="仿宋_GB2312" w:eastAsia="仿宋_GB2312" w:cs="仿宋_GB2312"/>
          <w:lang w:eastAsia="zh-CN"/>
        </w:rPr>
        <w:t>投标（响应）</w:t>
      </w:r>
      <w:r>
        <w:rPr>
          <w:rFonts w:ascii="仿宋_GB2312" w:hAnsi="仿宋_GB2312" w:eastAsia="仿宋_GB2312" w:cs="仿宋_GB2312"/>
        </w:rPr>
        <w:t>的供应商须为产品生产厂家或者生产厂家唯一授权供应商。本项目征集结果公告公开的合格供应商，将确定为入围供应商。</w:t>
      </w:r>
    </w:p>
    <w:p w14:paraId="1A69CDE9">
      <w:pPr>
        <w:pStyle w:val="11"/>
        <w:ind w:firstLine="480"/>
        <w:jc w:val="left"/>
      </w:pPr>
      <w:r>
        <w:rPr>
          <w:rFonts w:ascii="仿宋_GB2312" w:hAnsi="仿宋_GB2312" w:eastAsia="仿宋_GB2312" w:cs="仿宋_GB2312"/>
        </w:rPr>
        <w:t xml:space="preserve"> 征集人在入围通知书发出之日起30日内与第一阶段入围供应商签订框架协议。</w:t>
      </w:r>
    </w:p>
    <w:p w14:paraId="68A99B29">
      <w:pPr>
        <w:pStyle w:val="11"/>
        <w:ind w:firstLine="480"/>
        <w:jc w:val="left"/>
      </w:pPr>
      <w:r>
        <w:rPr>
          <w:rFonts w:ascii="仿宋_GB2312" w:hAnsi="仿宋_GB2312" w:eastAsia="仿宋_GB2312" w:cs="仿宋_GB2312"/>
        </w:rPr>
        <w:t xml:space="preserve"> （2）第二阶段</w:t>
      </w:r>
    </w:p>
    <w:p w14:paraId="67E5D9B2">
      <w:pPr>
        <w:pStyle w:val="11"/>
        <w:ind w:firstLine="480"/>
        <w:jc w:val="left"/>
      </w:pPr>
      <w:r>
        <w:rPr>
          <w:rFonts w:ascii="仿宋_GB2312" w:hAnsi="仿宋_GB2312" w:eastAsia="仿宋_GB2312" w:cs="仿宋_GB2312"/>
        </w:rPr>
        <w:t xml:space="preserve"> 框架协议第二阶段在框架协议采购系统上实施，仅本项目入围供应商及其委托代理商可在框架协议采购系统销售</w:t>
      </w:r>
      <w:r>
        <w:rPr>
          <w:rFonts w:hint="eastAsia" w:ascii="仿宋_GB2312" w:hAnsi="仿宋_GB2312" w:eastAsia="仿宋_GB2312" w:cs="仿宋_GB2312"/>
          <w:lang w:val="en-US" w:eastAsia="zh-CN"/>
        </w:rPr>
        <w:t>复印机</w:t>
      </w:r>
      <w:r>
        <w:rPr>
          <w:rFonts w:ascii="仿宋_GB2312" w:hAnsi="仿宋_GB2312" w:eastAsia="仿宋_GB2312" w:cs="仿宋_GB2312"/>
        </w:rPr>
        <w:t>类商品。</w:t>
      </w:r>
    </w:p>
    <w:p w14:paraId="73BAD349">
      <w:pPr>
        <w:pStyle w:val="11"/>
        <w:ind w:firstLine="480"/>
        <w:jc w:val="left"/>
      </w:pPr>
      <w:r>
        <w:rPr>
          <w:rFonts w:ascii="仿宋_GB2312" w:hAnsi="仿宋_GB2312" w:eastAsia="仿宋_GB2312" w:cs="仿宋_GB2312"/>
        </w:rPr>
        <w:t xml:space="preserve"> 入围供应商第一阶段</w:t>
      </w:r>
      <w:r>
        <w:rPr>
          <w:rFonts w:hint="eastAsia" w:ascii="仿宋_GB2312" w:hAnsi="仿宋_GB2312" w:eastAsia="仿宋_GB2312" w:cs="仿宋_GB2312"/>
          <w:lang w:eastAsia="zh-CN"/>
        </w:rPr>
        <w:t>投标（响应）</w:t>
      </w:r>
      <w:r>
        <w:rPr>
          <w:rFonts w:ascii="仿宋_GB2312" w:hAnsi="仿宋_GB2312" w:eastAsia="仿宋_GB2312" w:cs="仿宋_GB2312"/>
        </w:rPr>
        <w:t>报价是采购人或者服务对象确定第二阶段成交供应商的最高限价。本项目入围供应商及其委托代理商上架的商品价格不得高于入围供应商入围时的协议价格。</w:t>
      </w:r>
    </w:p>
    <w:p w14:paraId="6EB8B770">
      <w:pPr>
        <w:pStyle w:val="11"/>
        <w:ind w:firstLine="480"/>
        <w:jc w:val="left"/>
      </w:pPr>
      <w:r>
        <w:rPr>
          <w:rFonts w:ascii="仿宋_GB2312" w:hAnsi="仿宋_GB2312" w:eastAsia="仿宋_GB2312" w:cs="仿宋_GB2312"/>
        </w:rPr>
        <w:t xml:space="preserve"> （3）委托代理商</w:t>
      </w:r>
    </w:p>
    <w:p w14:paraId="638BBAAF">
      <w:pPr>
        <w:pStyle w:val="11"/>
        <w:ind w:firstLine="480"/>
        <w:jc w:val="left"/>
      </w:pPr>
      <w:r>
        <w:rPr>
          <w:rFonts w:ascii="仿宋_GB2312" w:hAnsi="仿宋_GB2312" w:eastAsia="仿宋_GB2312" w:cs="仿宋_GB2312"/>
        </w:rPr>
        <w:t xml:space="preserve"> 入围供应商可以委托一家或者多家代理商，按照框架协议约定接受采购人合同授予，并履行采购合同。入围供应商应当在框架协议中提供委托协议和委托的代理商名单。代理商根据与入围供应商签订的委托协议开展活动，其行为的法律后果由入围供应商和厂家承担连带责任。框架协议有效期内，入围供应商可根据征集文件的规定调整代理商名单。对于代理商拒不履行合同义务的，征集人依法追究入围供应商责任，并按协议约定解除代理商在该框架协议中接受合同授予的资格。</w:t>
      </w:r>
    </w:p>
    <w:p w14:paraId="27CF2C80">
      <w:pPr>
        <w:pStyle w:val="11"/>
        <w:ind w:firstLine="480"/>
        <w:jc w:val="left"/>
      </w:pPr>
      <w:r>
        <w:rPr>
          <w:rFonts w:ascii="仿宋_GB2312" w:hAnsi="仿宋_GB2312" w:eastAsia="仿宋_GB2312" w:cs="仿宋_GB2312"/>
        </w:rPr>
        <w:t xml:space="preserve"> 委托的代理商应当符合《中华人民共和国政府采购法》第二十二条第一款的条件；不存在被有关部门禁止参与政府采购活动且在有效期内的情况；未被列入失信被执行人、重大税收违法案件当事人名单、政府采购严重违法失信行为记录名单；不存在《深圳市财政局政府采购供应商信用信息管理办法》（深财规〔2023〕3号）列明的严重违法失信行为。入围供应商应于提交委托代理商名单前一日，查询“信用中国”（www.creditchina.gov.cn）、“中国政府采购网”（www.ccgp.gov.cn）、“深圳市政府采购监管网”（http://zfcg.sz.gov.cn），不得授权不符合上述要求的代理商。若在授权期间，代理商不符合上述要求的，入围供应商应当主动告知征集人，并取消对应代理商授权。</w:t>
      </w:r>
    </w:p>
    <w:p w14:paraId="4516A4B5">
      <w:pPr>
        <w:pStyle w:val="11"/>
        <w:ind w:firstLine="480"/>
        <w:jc w:val="left"/>
      </w:pPr>
      <w:r>
        <w:rPr>
          <w:rFonts w:ascii="仿宋_GB2312" w:hAnsi="仿宋_GB2312" w:eastAsia="仿宋_GB2312" w:cs="仿宋_GB2312"/>
        </w:rPr>
        <w:t xml:space="preserve"> 入围供应商可于每季度末（3月、6月、9月、12月）的20-30号向征集人递交调整委托代理商申请，每季度末的30号后由征集人统一审核，审核时间为5个工作日。具体要求及受理时间以相关通知为准。</w:t>
      </w:r>
    </w:p>
    <w:p w14:paraId="690F4EB4">
      <w:pPr>
        <w:pStyle w:val="11"/>
        <w:ind w:firstLine="480"/>
        <w:jc w:val="left"/>
      </w:pPr>
      <w:r>
        <w:rPr>
          <w:rFonts w:ascii="仿宋_GB2312" w:hAnsi="仿宋_GB2312" w:eastAsia="仿宋_GB2312" w:cs="仿宋_GB2312"/>
          <w:b/>
        </w:rPr>
        <w:t xml:space="preserve"> 2.试行商品条码管理</w:t>
      </w:r>
    </w:p>
    <w:p w14:paraId="4669F254">
      <w:pPr>
        <w:pStyle w:val="11"/>
        <w:ind w:firstLine="480"/>
        <w:jc w:val="left"/>
      </w:pPr>
      <w:r>
        <w:rPr>
          <w:rFonts w:ascii="仿宋_GB2312" w:hAnsi="仿宋_GB2312" w:eastAsia="仿宋_GB2312" w:cs="仿宋_GB2312"/>
        </w:rPr>
        <w:t xml:space="preserve"> 为确保政府采购商品质量，提高采购效率，依照《商品条码管理办法》(国家质量监督检验检疫总局令第76号)、《商品条码零售商品编码与条码表示》（GB12904-2008）规范要求，现执行框架协议采购的品目试行商品条码管理，即供应商上架的商品应有对应商品条码，且商品条码信息应与本次框架协议采购项目入围商品信息一致。上架的商品须与销售、配送、履约验收的商品使用同一条码，执行“一品一码”规则。 目前无条码的商品，厂家须在产品入围后申请商品条码（网址：http://www.gs1cn.org/）。</w:t>
      </w:r>
    </w:p>
    <w:p w14:paraId="529B63F4">
      <w:pPr>
        <w:pStyle w:val="11"/>
        <w:ind w:firstLine="480"/>
        <w:jc w:val="left"/>
      </w:pPr>
      <w:r>
        <w:rPr>
          <w:rFonts w:ascii="仿宋_GB2312" w:hAnsi="仿宋_GB2312" w:eastAsia="仿宋_GB2312" w:cs="仿宋_GB2312"/>
          <w:b/>
        </w:rPr>
        <w:t xml:space="preserve"> 3.框架协议系统管理规则</w:t>
      </w:r>
    </w:p>
    <w:p w14:paraId="2466F01E">
      <w:pPr>
        <w:pStyle w:val="11"/>
        <w:ind w:firstLine="480"/>
        <w:jc w:val="left"/>
      </w:pPr>
      <w:r>
        <w:rPr>
          <w:rFonts w:ascii="仿宋_GB2312" w:hAnsi="仿宋_GB2312" w:eastAsia="仿宋_GB2312" w:cs="仿宋_GB2312"/>
        </w:rPr>
        <w:t xml:space="preserve"> 入围供应商和代理商须按框架协议系统发布的管理规则执行。随着相关管理规则和制度的不断完善，入围供应商和代理商需要积极配合服从主管部门或征集人新制订的管理制度。</w:t>
      </w:r>
    </w:p>
    <w:p w14:paraId="343E0430">
      <w:pPr>
        <w:pStyle w:val="11"/>
        <w:ind w:firstLine="480"/>
        <w:jc w:val="left"/>
      </w:pPr>
      <w:r>
        <w:rPr>
          <w:rFonts w:ascii="仿宋_GB2312" w:hAnsi="仿宋_GB2312" w:eastAsia="仿宋_GB2312" w:cs="仿宋_GB2312"/>
          <w:b/>
        </w:rPr>
        <w:t xml:space="preserve"> 4.资产配置标准</w:t>
      </w:r>
    </w:p>
    <w:p w14:paraId="40857CD7">
      <w:pPr>
        <w:pStyle w:val="11"/>
        <w:ind w:firstLine="480"/>
        <w:jc w:val="left"/>
      </w:pPr>
      <w:r>
        <w:rPr>
          <w:rFonts w:ascii="仿宋_GB2312" w:hAnsi="仿宋_GB2312" w:eastAsia="仿宋_GB2312" w:cs="仿宋_GB2312"/>
        </w:rPr>
        <w:t xml:space="preserve"> 根据《深圳市财政局关于印发&lt;深圳市本级行政事业单位通用办公设备配置预算标准&gt;的通知》（深财资〔2023〕67号）规定，为了加强行政事业单位通用办公设备配置管理，采购单位须遵照执行，其中，普通复印机价格上限标准为15,000元/台,高档复印机价格上限标准为35,000元/台，单位最低使用年限为6年，配置纳入政府指定采购范围、目录的资产，或上级部门有特殊要求的，按照政府采购有关法律法规及规章制度规定或上级部门相关文件执行。</w:t>
      </w:r>
    </w:p>
    <w:p w14:paraId="0AD39547">
      <w:pPr>
        <w:pStyle w:val="11"/>
        <w:numPr>
          <w:ilvl w:val="0"/>
          <w:numId w:val="0"/>
        </w:numPr>
        <w:ind w:firstLine="602" w:firstLineChars="300"/>
        <w:jc w:val="left"/>
        <w:rPr>
          <w:rFonts w:ascii="仿宋_GB2312" w:hAnsi="仿宋_GB2312" w:eastAsia="仿宋_GB2312" w:cs="仿宋_GB2312"/>
          <w:b/>
        </w:rPr>
      </w:pPr>
      <w:r>
        <w:rPr>
          <w:rFonts w:hint="eastAsia" w:ascii="仿宋_GB2312" w:hAnsi="仿宋_GB2312" w:eastAsia="仿宋_GB2312" w:cs="仿宋_GB2312"/>
          <w:b/>
          <w:lang w:val="en-US" w:eastAsia="zh-CN"/>
        </w:rPr>
        <w:t>5.</w:t>
      </w:r>
      <w:r>
        <w:rPr>
          <w:rFonts w:ascii="仿宋_GB2312" w:hAnsi="仿宋_GB2312" w:eastAsia="仿宋_GB2312" w:cs="仿宋_GB2312"/>
          <w:b/>
        </w:rPr>
        <w:t>价格监测</w:t>
      </w:r>
    </w:p>
    <w:p w14:paraId="10874256">
      <w:pPr>
        <w:pStyle w:val="11"/>
        <w:keepNext w:val="0"/>
        <w:keepLines w:val="0"/>
        <w:pageBreakBefore w:val="0"/>
        <w:widowControl/>
        <w:kinsoku/>
        <w:wordWrap w:val="0"/>
        <w:overflowPunct/>
        <w:topLinePunct w:val="0"/>
        <w:autoSpaceDE/>
        <w:autoSpaceDN/>
        <w:bidi w:val="0"/>
        <w:adjustRightInd/>
        <w:snapToGrid/>
        <w:ind w:firstLine="482"/>
        <w:jc w:val="left"/>
        <w:textAlignment w:val="auto"/>
        <w:rPr>
          <w:rFonts w:ascii="仿宋_GB2312" w:hAnsi="仿宋_GB2312" w:eastAsia="仿宋_GB2312" w:cs="仿宋_GB2312"/>
        </w:rPr>
      </w:pPr>
      <w:r>
        <w:rPr>
          <w:rFonts w:ascii="仿宋_GB2312" w:hAnsi="仿宋_GB2312" w:eastAsia="仿宋_GB2312" w:cs="仿宋_GB2312"/>
        </w:rPr>
        <w:t>入围产品价格高于第三方监测机构出具的市场价10%的商品，按照《深圳政府采购业务框架协议采购系统管理规则》（网址：https://kjcg.szggzy.com/gpfa-main-web/basic/noticeDetail?noticeGuid=7189091567767060480）暂停商品交易。</w:t>
      </w:r>
    </w:p>
    <w:p w14:paraId="534CC0D1">
      <w:pPr>
        <w:pStyle w:val="11"/>
        <w:ind w:firstLine="480"/>
        <w:jc w:val="left"/>
      </w:pPr>
      <w:r>
        <w:rPr>
          <w:rFonts w:ascii="仿宋_GB2312" w:hAnsi="仿宋_GB2312" w:eastAsia="仿宋_GB2312" w:cs="仿宋_GB2312"/>
          <w:b/>
        </w:rPr>
        <w:t xml:space="preserve"> </w:t>
      </w:r>
      <w:r>
        <w:rPr>
          <w:rFonts w:hint="eastAsia" w:ascii="仿宋_GB2312" w:hAnsi="仿宋_GB2312" w:eastAsia="仿宋_GB2312" w:cs="仿宋_GB2312"/>
          <w:b/>
          <w:lang w:val="en-US" w:eastAsia="zh-CN"/>
        </w:rPr>
        <w:t>6</w:t>
      </w:r>
      <w:r>
        <w:rPr>
          <w:rFonts w:ascii="仿宋_GB2312" w:hAnsi="仿宋_GB2312" w:eastAsia="仿宋_GB2312" w:cs="仿宋_GB2312"/>
          <w:b/>
        </w:rPr>
        <w:t>.其他约定</w:t>
      </w:r>
    </w:p>
    <w:p w14:paraId="567C236D">
      <w:pPr>
        <w:pStyle w:val="11"/>
        <w:ind w:firstLine="480"/>
        <w:jc w:val="left"/>
      </w:pPr>
      <w:r>
        <w:rPr>
          <w:rFonts w:ascii="仿宋_GB2312" w:hAnsi="仿宋_GB2312" w:eastAsia="仿宋_GB2312" w:cs="仿宋_GB2312"/>
        </w:rPr>
        <w:t xml:space="preserve"> 封闭式框架协议入围供应商无正当理由，不得主动放弃入围资格或者退出框架协议。</w:t>
      </w:r>
    </w:p>
    <w:p w14:paraId="168DA889">
      <w:pPr>
        <w:pStyle w:val="11"/>
        <w:ind w:firstLine="480"/>
        <w:jc w:val="left"/>
      </w:pPr>
      <w:r>
        <w:rPr>
          <w:rFonts w:ascii="仿宋_GB2312" w:hAnsi="仿宋_GB2312" w:eastAsia="仿宋_GB2312" w:cs="仿宋_GB2312"/>
        </w:rPr>
        <w:t xml:space="preserve"> 供应商参加本项目征集活动，有义务仔细阅读本项目公告及征集文件要求，并视为接受了本征集文件的规定和约束。</w:t>
      </w:r>
    </w:p>
    <w:p w14:paraId="52280DA8">
      <w:pPr>
        <w:pStyle w:val="11"/>
        <w:rPr>
          <w:rFonts w:ascii="仿宋_GB2312" w:hAnsi="仿宋_GB2312" w:eastAsia="仿宋_GB2312" w:cs="仿宋_GB2312"/>
        </w:rPr>
        <w:sectPr>
          <w:pgSz w:w="11906" w:h="16838"/>
          <w:pgMar w:top="1440" w:right="1800" w:bottom="1440" w:left="1800" w:header="851" w:footer="992" w:gutter="0"/>
          <w:cols w:space="425" w:num="1"/>
          <w:docGrid w:type="lines" w:linePitch="312" w:charSpace="0"/>
        </w:sectPr>
      </w:pPr>
      <w:r>
        <w:rPr>
          <w:rFonts w:ascii="仿宋_GB2312" w:hAnsi="仿宋_GB2312" w:eastAsia="仿宋_GB2312" w:cs="仿宋_GB2312"/>
        </w:rPr>
        <w:t xml:space="preserve"> </w:t>
      </w:r>
    </w:p>
    <w:p w14:paraId="39C3F743">
      <w:pPr>
        <w:pStyle w:val="11"/>
        <w:jc w:val="center"/>
        <w:outlineLvl w:val="1"/>
      </w:pPr>
      <w:r>
        <w:rPr>
          <w:rFonts w:ascii="仿宋_GB2312" w:hAnsi="仿宋_GB2312" w:eastAsia="仿宋_GB2312" w:cs="仿宋_GB2312"/>
          <w:b/>
          <w:sz w:val="36"/>
        </w:rPr>
        <w:t>第三章 采购需求</w:t>
      </w:r>
    </w:p>
    <w:p w14:paraId="0D0E91F8">
      <w:pPr>
        <w:pStyle w:val="11"/>
        <w:jc w:val="left"/>
        <w:outlineLvl w:val="2"/>
      </w:pPr>
      <w:r>
        <w:rPr>
          <w:rFonts w:ascii="仿宋_GB2312" w:hAnsi="仿宋_GB2312" w:eastAsia="仿宋_GB2312" w:cs="仿宋_GB2312"/>
          <w:b/>
          <w:sz w:val="28"/>
        </w:rPr>
        <w:t>一、技术要求</w:t>
      </w:r>
    </w:p>
    <w:p w14:paraId="019035BF">
      <w:pPr>
        <w:pStyle w:val="11"/>
        <w:ind w:firstLine="480"/>
        <w:jc w:val="left"/>
        <w:rPr>
          <w:rFonts w:hint="default" w:eastAsia="仿宋_GB2312"/>
          <w:lang w:val="en-US" w:eastAsia="zh-CN"/>
        </w:rPr>
      </w:pPr>
      <w:r>
        <w:rPr>
          <w:rFonts w:ascii="仿宋_GB2312" w:hAnsi="仿宋_GB2312" w:eastAsia="仿宋_GB2312" w:cs="仿宋_GB2312"/>
        </w:rPr>
        <w:t>采购标的：</w:t>
      </w:r>
      <w:r>
        <w:rPr>
          <w:rFonts w:hint="eastAsia" w:ascii="仿宋_GB2312" w:hAnsi="仿宋_GB2312" w:eastAsia="仿宋_GB2312" w:cs="仿宋_GB2312"/>
          <w:lang w:val="en-US" w:eastAsia="zh-CN"/>
        </w:rPr>
        <w:t>复印机</w:t>
      </w:r>
    </w:p>
    <w:p w14:paraId="399030B0">
      <w:pPr>
        <w:pStyle w:val="11"/>
        <w:ind w:firstLine="480"/>
        <w:jc w:val="left"/>
      </w:pPr>
      <w:r>
        <w:rPr>
          <w:rFonts w:ascii="仿宋_GB2312" w:hAnsi="仿宋_GB2312" w:eastAsia="仿宋_GB2312" w:cs="仿宋_GB2312"/>
        </w:rPr>
        <w:t>计量单位：台</w:t>
      </w:r>
    </w:p>
    <w:p w14:paraId="27398167">
      <w:pPr>
        <w:pStyle w:val="11"/>
        <w:ind w:firstLine="480"/>
        <w:jc w:val="left"/>
      </w:pPr>
      <w:r>
        <w:rPr>
          <w:rFonts w:ascii="仿宋_GB2312" w:hAnsi="仿宋_GB2312" w:eastAsia="仿宋_GB2312" w:cs="仿宋_GB2312"/>
        </w:rPr>
        <w:t>标的物所属行业：工业</w:t>
      </w:r>
    </w:p>
    <w:p w14:paraId="392A5772">
      <w:pPr>
        <w:pStyle w:val="11"/>
        <w:ind w:firstLine="480"/>
        <w:jc w:val="left"/>
      </w:pPr>
      <w:r>
        <w:rPr>
          <w:rFonts w:ascii="仿宋_GB2312" w:hAnsi="仿宋_GB2312" w:eastAsia="仿宋_GB2312" w:cs="仿宋_GB2312"/>
        </w:rPr>
        <w:t>是否采购进口产品：否</w:t>
      </w:r>
    </w:p>
    <w:p w14:paraId="7B8F96E7">
      <w:pPr>
        <w:pStyle w:val="11"/>
        <w:ind w:firstLine="480"/>
        <w:jc w:val="left"/>
        <w:rPr>
          <w:rFonts w:hint="default" w:eastAsia="仿宋_GB2312"/>
          <w:lang w:val="en-US" w:eastAsia="zh-CN"/>
        </w:rPr>
      </w:pPr>
      <w:r>
        <w:rPr>
          <w:rFonts w:ascii="仿宋_GB2312" w:hAnsi="仿宋_GB2312" w:eastAsia="仿宋_GB2312" w:cs="仿宋_GB2312"/>
        </w:rPr>
        <w:t>是否强制节能产品：激光打印机是</w:t>
      </w:r>
    </w:p>
    <w:tbl>
      <w:tblPr>
        <w:tblStyle w:val="7"/>
        <w:tblW w:w="14664" w:type="dxa"/>
        <w:tblInd w:w="-27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52"/>
        <w:gridCol w:w="617"/>
        <w:gridCol w:w="511"/>
        <w:gridCol w:w="624"/>
        <w:gridCol w:w="756"/>
        <w:gridCol w:w="792"/>
        <w:gridCol w:w="835"/>
        <w:gridCol w:w="974"/>
        <w:gridCol w:w="721"/>
        <w:gridCol w:w="703"/>
        <w:gridCol w:w="686"/>
        <w:gridCol w:w="480"/>
        <w:gridCol w:w="870"/>
        <w:gridCol w:w="1079"/>
        <w:gridCol w:w="876"/>
        <w:gridCol w:w="720"/>
        <w:gridCol w:w="756"/>
        <w:gridCol w:w="756"/>
        <w:gridCol w:w="564"/>
        <w:gridCol w:w="792"/>
      </w:tblGrid>
      <w:tr w14:paraId="0D7936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9" w:hRule="atLeast"/>
          <w:tblHeader/>
        </w:trPr>
        <w:tc>
          <w:tcPr>
            <w:tcW w:w="552"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E22748">
            <w:pPr>
              <w:keepNext w:val="0"/>
              <w:keepLines w:val="0"/>
              <w:widowControl/>
              <w:suppressLineNumbers w:val="0"/>
              <w:jc w:val="center"/>
              <w:textAlignment w:val="center"/>
              <w:rPr>
                <w:rFonts w:ascii="仿宋_GB2312" w:hAnsi="宋体" w:eastAsia="仿宋_GB2312" w:cs="仿宋_GB2312"/>
                <w:b/>
                <w:bCs/>
                <w:i w:val="0"/>
                <w:iCs w:val="0"/>
                <w:color w:val="000000"/>
                <w:sz w:val="16"/>
                <w:szCs w:val="16"/>
                <w:u w:val="none"/>
              </w:rPr>
            </w:pPr>
            <w:r>
              <w:rPr>
                <w:rFonts w:hint="eastAsia" w:ascii="仿宋_GB2312" w:hAnsi="宋体" w:eastAsia="仿宋_GB2312" w:cs="仿宋_GB2312"/>
                <w:b/>
                <w:bCs/>
                <w:i w:val="0"/>
                <w:iCs w:val="0"/>
                <w:snapToGrid w:val="0"/>
                <w:color w:val="000000"/>
                <w:kern w:val="0"/>
                <w:sz w:val="16"/>
                <w:szCs w:val="16"/>
                <w:u w:val="none"/>
                <w:lang w:val="en-US" w:eastAsia="zh-CN" w:bidi="ar"/>
              </w:rPr>
              <w:t>包号</w:t>
            </w:r>
          </w:p>
        </w:tc>
        <w:tc>
          <w:tcPr>
            <w:tcW w:w="617" w:type="dxa"/>
            <w:tcBorders>
              <w:top w:val="single" w:color="000000" w:sz="8" w:space="0"/>
              <w:left w:val="nil"/>
              <w:bottom w:val="single" w:color="000000" w:sz="8" w:space="0"/>
              <w:right w:val="single" w:color="000000" w:sz="8" w:space="0"/>
            </w:tcBorders>
            <w:shd w:val="clear" w:color="auto" w:fill="auto"/>
            <w:vAlign w:val="center"/>
          </w:tcPr>
          <w:p w14:paraId="3EC5DDDA">
            <w:pPr>
              <w:keepNext w:val="0"/>
              <w:keepLines w:val="0"/>
              <w:widowControl/>
              <w:suppressLineNumbers w:val="0"/>
              <w:jc w:val="center"/>
              <w:textAlignment w:val="center"/>
              <w:rPr>
                <w:rFonts w:hint="eastAsia" w:ascii="仿宋_GB2312" w:hAnsi="宋体" w:eastAsia="仿宋_GB2312" w:cs="仿宋_GB2312"/>
                <w:b/>
                <w:bCs/>
                <w:i w:val="0"/>
                <w:iCs w:val="0"/>
                <w:color w:val="000000"/>
                <w:sz w:val="16"/>
                <w:szCs w:val="16"/>
                <w:u w:val="none"/>
              </w:rPr>
            </w:pPr>
            <w:r>
              <w:rPr>
                <w:rFonts w:hint="eastAsia" w:ascii="仿宋_GB2312" w:hAnsi="宋体" w:eastAsia="仿宋_GB2312" w:cs="仿宋_GB2312"/>
                <w:b/>
                <w:bCs/>
                <w:i w:val="0"/>
                <w:iCs w:val="0"/>
                <w:snapToGrid w:val="0"/>
                <w:color w:val="000000"/>
                <w:kern w:val="0"/>
                <w:sz w:val="16"/>
                <w:szCs w:val="16"/>
                <w:u w:val="none"/>
                <w:lang w:val="en-US" w:eastAsia="zh-CN" w:bidi="ar"/>
              </w:rPr>
              <w:t>复印类型</w:t>
            </w:r>
          </w:p>
        </w:tc>
        <w:tc>
          <w:tcPr>
            <w:tcW w:w="511" w:type="dxa"/>
            <w:tcBorders>
              <w:top w:val="single" w:color="000000" w:sz="8" w:space="0"/>
              <w:left w:val="nil"/>
              <w:bottom w:val="single" w:color="000000" w:sz="8" w:space="0"/>
              <w:right w:val="single" w:color="000000" w:sz="8" w:space="0"/>
            </w:tcBorders>
            <w:shd w:val="clear" w:color="auto" w:fill="auto"/>
            <w:vAlign w:val="center"/>
          </w:tcPr>
          <w:p w14:paraId="75F5F57E">
            <w:pPr>
              <w:keepNext w:val="0"/>
              <w:keepLines w:val="0"/>
              <w:widowControl/>
              <w:suppressLineNumbers w:val="0"/>
              <w:jc w:val="center"/>
              <w:textAlignment w:val="center"/>
              <w:rPr>
                <w:rFonts w:hint="eastAsia" w:ascii="仿宋_GB2312" w:hAnsi="宋体" w:eastAsia="仿宋_GB2312" w:cs="仿宋_GB2312"/>
                <w:b/>
                <w:bCs/>
                <w:i w:val="0"/>
                <w:iCs w:val="0"/>
                <w:color w:val="000000"/>
                <w:sz w:val="16"/>
                <w:szCs w:val="16"/>
                <w:u w:val="none"/>
              </w:rPr>
            </w:pPr>
            <w:r>
              <w:rPr>
                <w:rFonts w:hint="eastAsia" w:ascii="仿宋_GB2312" w:hAnsi="宋体" w:eastAsia="仿宋_GB2312" w:cs="仿宋_GB2312"/>
                <w:b/>
                <w:bCs/>
                <w:i w:val="0"/>
                <w:iCs w:val="0"/>
                <w:snapToGrid w:val="0"/>
                <w:color w:val="000000"/>
                <w:kern w:val="0"/>
                <w:sz w:val="16"/>
                <w:szCs w:val="16"/>
                <w:u w:val="none"/>
                <w:lang w:val="en-US" w:eastAsia="zh-CN" w:bidi="ar"/>
              </w:rPr>
              <w:t>色彩</w:t>
            </w:r>
          </w:p>
        </w:tc>
        <w:tc>
          <w:tcPr>
            <w:tcW w:w="624" w:type="dxa"/>
            <w:tcBorders>
              <w:top w:val="single" w:color="000000" w:sz="8" w:space="0"/>
              <w:left w:val="nil"/>
              <w:bottom w:val="single" w:color="000000" w:sz="8" w:space="0"/>
              <w:right w:val="single" w:color="000000" w:sz="8" w:space="0"/>
            </w:tcBorders>
            <w:shd w:val="clear" w:color="auto" w:fill="auto"/>
            <w:vAlign w:val="center"/>
          </w:tcPr>
          <w:p w14:paraId="7EE2EC1B">
            <w:pPr>
              <w:keepNext w:val="0"/>
              <w:keepLines w:val="0"/>
              <w:widowControl/>
              <w:suppressLineNumbers w:val="0"/>
              <w:jc w:val="center"/>
              <w:textAlignment w:val="center"/>
              <w:rPr>
                <w:rFonts w:hint="eastAsia" w:ascii="仿宋_GB2312" w:hAnsi="宋体" w:eastAsia="仿宋_GB2312" w:cs="仿宋_GB2312"/>
                <w:b/>
                <w:bCs/>
                <w:i w:val="0"/>
                <w:iCs w:val="0"/>
                <w:color w:val="000000"/>
                <w:sz w:val="16"/>
                <w:szCs w:val="16"/>
                <w:u w:val="none"/>
              </w:rPr>
            </w:pPr>
            <w:r>
              <w:rPr>
                <w:rFonts w:hint="eastAsia" w:ascii="仿宋_GB2312" w:hAnsi="宋体" w:eastAsia="仿宋_GB2312" w:cs="仿宋_GB2312"/>
                <w:b/>
                <w:bCs/>
                <w:i w:val="0"/>
                <w:iCs w:val="0"/>
                <w:snapToGrid w:val="0"/>
                <w:color w:val="000000"/>
                <w:kern w:val="0"/>
                <w:sz w:val="16"/>
                <w:szCs w:val="16"/>
                <w:u w:val="none"/>
                <w:lang w:val="en-US" w:eastAsia="zh-CN" w:bidi="ar"/>
              </w:rPr>
              <w:t>最大纸张幅面</w:t>
            </w:r>
          </w:p>
        </w:tc>
        <w:tc>
          <w:tcPr>
            <w:tcW w:w="756" w:type="dxa"/>
            <w:tcBorders>
              <w:top w:val="single" w:color="000000" w:sz="8" w:space="0"/>
              <w:left w:val="nil"/>
              <w:bottom w:val="single" w:color="000000" w:sz="8" w:space="0"/>
              <w:right w:val="single" w:color="000000" w:sz="8" w:space="0"/>
            </w:tcBorders>
            <w:shd w:val="clear" w:color="auto" w:fill="auto"/>
            <w:vAlign w:val="center"/>
          </w:tcPr>
          <w:p w14:paraId="7C716FB8">
            <w:pPr>
              <w:keepNext w:val="0"/>
              <w:keepLines w:val="0"/>
              <w:widowControl/>
              <w:suppressLineNumbers w:val="0"/>
              <w:jc w:val="center"/>
              <w:textAlignment w:val="center"/>
              <w:rPr>
                <w:rFonts w:hint="eastAsia" w:ascii="仿宋_GB2312" w:hAnsi="宋体" w:eastAsia="仿宋_GB2312" w:cs="仿宋_GB2312"/>
                <w:b/>
                <w:bCs/>
                <w:i w:val="0"/>
                <w:iCs w:val="0"/>
                <w:color w:val="000000"/>
                <w:sz w:val="16"/>
                <w:szCs w:val="16"/>
                <w:u w:val="none"/>
              </w:rPr>
            </w:pPr>
            <w:r>
              <w:rPr>
                <w:rFonts w:hint="eastAsia" w:ascii="仿宋_GB2312" w:hAnsi="宋体" w:eastAsia="仿宋_GB2312" w:cs="仿宋_GB2312"/>
                <w:b/>
                <w:bCs/>
                <w:i w:val="0"/>
                <w:iCs w:val="0"/>
                <w:snapToGrid w:val="0"/>
                <w:color w:val="000000"/>
                <w:kern w:val="0"/>
                <w:sz w:val="16"/>
                <w:szCs w:val="16"/>
                <w:u w:val="none"/>
                <w:lang w:val="en-US" w:eastAsia="zh-CN" w:bidi="ar"/>
              </w:rPr>
              <w:t>自动双面复印</w:t>
            </w:r>
          </w:p>
        </w:tc>
        <w:tc>
          <w:tcPr>
            <w:tcW w:w="792" w:type="dxa"/>
            <w:tcBorders>
              <w:top w:val="single" w:color="000000" w:sz="8" w:space="0"/>
              <w:left w:val="nil"/>
              <w:bottom w:val="single" w:color="000000" w:sz="8" w:space="0"/>
              <w:right w:val="single" w:color="000000" w:sz="8" w:space="0"/>
            </w:tcBorders>
            <w:shd w:val="clear" w:color="auto" w:fill="auto"/>
            <w:vAlign w:val="center"/>
          </w:tcPr>
          <w:p w14:paraId="7EAFE6F3">
            <w:pPr>
              <w:keepNext w:val="0"/>
              <w:keepLines w:val="0"/>
              <w:widowControl/>
              <w:suppressLineNumbers w:val="0"/>
              <w:jc w:val="center"/>
              <w:textAlignment w:val="center"/>
              <w:rPr>
                <w:rFonts w:hint="eastAsia" w:ascii="仿宋_GB2312" w:hAnsi="宋体" w:eastAsia="仿宋_GB2312" w:cs="仿宋_GB2312"/>
                <w:b/>
                <w:bCs/>
                <w:i w:val="0"/>
                <w:iCs w:val="0"/>
                <w:color w:val="000000"/>
                <w:sz w:val="16"/>
                <w:szCs w:val="16"/>
                <w:u w:val="none"/>
              </w:rPr>
            </w:pPr>
            <w:r>
              <w:rPr>
                <w:rFonts w:hint="eastAsia" w:ascii="仿宋_GB2312" w:hAnsi="宋体" w:eastAsia="仿宋_GB2312" w:cs="仿宋_GB2312"/>
                <w:b/>
                <w:bCs/>
                <w:i w:val="0"/>
                <w:iCs w:val="0"/>
                <w:snapToGrid w:val="0"/>
                <w:color w:val="000000"/>
                <w:kern w:val="0"/>
                <w:sz w:val="16"/>
                <w:szCs w:val="16"/>
                <w:u w:val="none"/>
                <w:lang w:val="en-US" w:eastAsia="zh-CN" w:bidi="ar"/>
              </w:rPr>
              <w:t>A4黑白连续复印速度（ppm）</w:t>
            </w:r>
          </w:p>
        </w:tc>
        <w:tc>
          <w:tcPr>
            <w:tcW w:w="835" w:type="dxa"/>
            <w:tcBorders>
              <w:top w:val="single" w:color="000000" w:sz="8" w:space="0"/>
              <w:left w:val="nil"/>
              <w:bottom w:val="single" w:color="000000" w:sz="8" w:space="0"/>
              <w:right w:val="single" w:color="000000" w:sz="8" w:space="0"/>
            </w:tcBorders>
            <w:shd w:val="clear" w:color="auto" w:fill="auto"/>
            <w:vAlign w:val="center"/>
          </w:tcPr>
          <w:p w14:paraId="04A10F2F">
            <w:pPr>
              <w:keepNext w:val="0"/>
              <w:keepLines w:val="0"/>
              <w:widowControl/>
              <w:suppressLineNumbers w:val="0"/>
              <w:jc w:val="center"/>
              <w:textAlignment w:val="center"/>
              <w:rPr>
                <w:rFonts w:hint="eastAsia" w:ascii="仿宋_GB2312" w:hAnsi="宋体" w:eastAsia="仿宋_GB2312" w:cs="仿宋_GB2312"/>
                <w:b/>
                <w:bCs/>
                <w:i w:val="0"/>
                <w:iCs w:val="0"/>
                <w:color w:val="000000"/>
                <w:sz w:val="16"/>
                <w:szCs w:val="16"/>
                <w:u w:val="none"/>
              </w:rPr>
            </w:pPr>
            <w:r>
              <w:rPr>
                <w:rFonts w:hint="eastAsia" w:ascii="仿宋_GB2312" w:hAnsi="宋体" w:eastAsia="仿宋_GB2312" w:cs="仿宋_GB2312"/>
                <w:b/>
                <w:bCs/>
                <w:i w:val="0"/>
                <w:iCs w:val="0"/>
                <w:snapToGrid w:val="0"/>
                <w:color w:val="000000"/>
                <w:kern w:val="0"/>
                <w:sz w:val="16"/>
                <w:szCs w:val="16"/>
                <w:u w:val="none"/>
                <w:lang w:val="en-US" w:eastAsia="zh-CN" w:bidi="ar"/>
              </w:rPr>
              <w:t>扫描速度（ipm）</w:t>
            </w:r>
          </w:p>
        </w:tc>
        <w:tc>
          <w:tcPr>
            <w:tcW w:w="974" w:type="dxa"/>
            <w:tcBorders>
              <w:top w:val="single" w:color="000000" w:sz="8" w:space="0"/>
              <w:left w:val="nil"/>
              <w:bottom w:val="single" w:color="000000" w:sz="8" w:space="0"/>
              <w:right w:val="single" w:color="000000" w:sz="8" w:space="0"/>
            </w:tcBorders>
            <w:shd w:val="clear" w:color="auto" w:fill="auto"/>
            <w:vAlign w:val="center"/>
          </w:tcPr>
          <w:p w14:paraId="40607B4F">
            <w:pPr>
              <w:keepNext w:val="0"/>
              <w:keepLines w:val="0"/>
              <w:widowControl/>
              <w:suppressLineNumbers w:val="0"/>
              <w:jc w:val="center"/>
              <w:textAlignment w:val="center"/>
              <w:rPr>
                <w:rFonts w:hint="eastAsia" w:ascii="仿宋_GB2312" w:hAnsi="宋体" w:eastAsia="仿宋_GB2312" w:cs="仿宋_GB2312"/>
                <w:b/>
                <w:bCs/>
                <w:i w:val="0"/>
                <w:iCs w:val="0"/>
                <w:color w:val="000000"/>
                <w:sz w:val="16"/>
                <w:szCs w:val="16"/>
                <w:u w:val="none"/>
              </w:rPr>
            </w:pPr>
            <w:r>
              <w:rPr>
                <w:rFonts w:hint="eastAsia" w:ascii="仿宋_GB2312" w:hAnsi="宋体" w:eastAsia="仿宋_GB2312" w:cs="仿宋_GB2312"/>
                <w:b/>
                <w:bCs/>
                <w:i w:val="0"/>
                <w:iCs w:val="0"/>
                <w:snapToGrid w:val="0"/>
                <w:color w:val="000000"/>
                <w:kern w:val="0"/>
                <w:sz w:val="16"/>
                <w:szCs w:val="16"/>
                <w:u w:val="none"/>
                <w:lang w:val="en-US" w:eastAsia="zh-CN" w:bidi="ar"/>
              </w:rPr>
              <w:t>单个纸盒纸张容量（页）</w:t>
            </w:r>
          </w:p>
        </w:tc>
        <w:tc>
          <w:tcPr>
            <w:tcW w:w="721" w:type="dxa"/>
            <w:tcBorders>
              <w:top w:val="single" w:color="000000" w:sz="8" w:space="0"/>
              <w:left w:val="nil"/>
              <w:bottom w:val="single" w:color="000000" w:sz="8" w:space="0"/>
              <w:right w:val="single" w:color="000000" w:sz="8" w:space="0"/>
            </w:tcBorders>
            <w:shd w:val="clear" w:color="auto" w:fill="auto"/>
            <w:vAlign w:val="center"/>
          </w:tcPr>
          <w:p w14:paraId="10DAE8FD">
            <w:pPr>
              <w:keepNext w:val="0"/>
              <w:keepLines w:val="0"/>
              <w:widowControl/>
              <w:suppressLineNumbers w:val="0"/>
              <w:jc w:val="center"/>
              <w:textAlignment w:val="center"/>
              <w:rPr>
                <w:rFonts w:hint="eastAsia" w:ascii="仿宋_GB2312" w:hAnsi="宋体" w:eastAsia="仿宋_GB2312" w:cs="仿宋_GB2312"/>
                <w:b/>
                <w:bCs/>
                <w:i w:val="0"/>
                <w:iCs w:val="0"/>
                <w:color w:val="000000"/>
                <w:sz w:val="16"/>
                <w:szCs w:val="16"/>
                <w:u w:val="none"/>
              </w:rPr>
            </w:pPr>
            <w:r>
              <w:rPr>
                <w:rFonts w:hint="eastAsia" w:ascii="仿宋_GB2312" w:hAnsi="宋体" w:eastAsia="仿宋_GB2312" w:cs="仿宋_GB2312"/>
                <w:b/>
                <w:bCs/>
                <w:i w:val="0"/>
                <w:iCs w:val="0"/>
                <w:snapToGrid w:val="0"/>
                <w:color w:val="000000"/>
                <w:kern w:val="0"/>
                <w:sz w:val="16"/>
                <w:szCs w:val="16"/>
                <w:u w:val="none"/>
                <w:lang w:val="en-US" w:eastAsia="zh-CN" w:bidi="ar"/>
              </w:rPr>
              <w:t>是否标配自动双面输稿器</w:t>
            </w:r>
          </w:p>
        </w:tc>
        <w:tc>
          <w:tcPr>
            <w:tcW w:w="703" w:type="dxa"/>
            <w:tcBorders>
              <w:top w:val="single" w:color="000000" w:sz="8" w:space="0"/>
              <w:left w:val="nil"/>
              <w:bottom w:val="single" w:color="000000" w:sz="8" w:space="0"/>
              <w:right w:val="single" w:color="000000" w:sz="8" w:space="0"/>
            </w:tcBorders>
            <w:shd w:val="clear" w:color="auto" w:fill="auto"/>
            <w:vAlign w:val="center"/>
          </w:tcPr>
          <w:p w14:paraId="55510136">
            <w:pPr>
              <w:keepNext w:val="0"/>
              <w:keepLines w:val="0"/>
              <w:widowControl/>
              <w:suppressLineNumbers w:val="0"/>
              <w:jc w:val="center"/>
              <w:textAlignment w:val="center"/>
              <w:rPr>
                <w:rFonts w:hint="eastAsia" w:ascii="仿宋_GB2312" w:hAnsi="宋体" w:eastAsia="仿宋_GB2312" w:cs="仿宋_GB2312"/>
                <w:b/>
                <w:bCs/>
                <w:i w:val="0"/>
                <w:iCs w:val="0"/>
                <w:color w:val="000000"/>
                <w:sz w:val="16"/>
                <w:szCs w:val="16"/>
                <w:u w:val="none"/>
              </w:rPr>
            </w:pPr>
            <w:r>
              <w:rPr>
                <w:rFonts w:hint="eastAsia" w:ascii="仿宋_GB2312" w:hAnsi="宋体" w:eastAsia="仿宋_GB2312" w:cs="仿宋_GB2312"/>
                <w:b/>
                <w:bCs/>
                <w:i w:val="0"/>
                <w:iCs w:val="0"/>
                <w:snapToGrid w:val="0"/>
                <w:color w:val="000000"/>
                <w:kern w:val="0"/>
                <w:sz w:val="16"/>
                <w:szCs w:val="16"/>
                <w:u w:val="none"/>
                <w:lang w:val="en-US" w:eastAsia="zh-CN" w:bidi="ar"/>
              </w:rPr>
              <w:t>操作面板</w:t>
            </w:r>
          </w:p>
        </w:tc>
        <w:tc>
          <w:tcPr>
            <w:tcW w:w="686" w:type="dxa"/>
            <w:tcBorders>
              <w:top w:val="single" w:color="000000" w:sz="8" w:space="0"/>
              <w:left w:val="nil"/>
              <w:bottom w:val="single" w:color="000000" w:sz="8" w:space="0"/>
              <w:right w:val="single" w:color="000000" w:sz="8" w:space="0"/>
            </w:tcBorders>
            <w:shd w:val="clear" w:color="auto" w:fill="auto"/>
            <w:vAlign w:val="center"/>
          </w:tcPr>
          <w:p w14:paraId="2A789E70">
            <w:pPr>
              <w:keepNext w:val="0"/>
              <w:keepLines w:val="0"/>
              <w:widowControl/>
              <w:suppressLineNumbers w:val="0"/>
              <w:jc w:val="center"/>
              <w:textAlignment w:val="center"/>
              <w:rPr>
                <w:rFonts w:hint="eastAsia" w:ascii="仿宋_GB2312" w:hAnsi="宋体" w:eastAsia="仿宋_GB2312" w:cs="仿宋_GB2312"/>
                <w:b/>
                <w:bCs/>
                <w:i w:val="0"/>
                <w:iCs w:val="0"/>
                <w:color w:val="000000"/>
                <w:sz w:val="16"/>
                <w:szCs w:val="16"/>
                <w:u w:val="none"/>
              </w:rPr>
            </w:pPr>
            <w:r>
              <w:rPr>
                <w:rFonts w:hint="eastAsia" w:ascii="仿宋_GB2312" w:hAnsi="宋体" w:eastAsia="仿宋_GB2312" w:cs="仿宋_GB2312"/>
                <w:b/>
                <w:bCs/>
                <w:i w:val="0"/>
                <w:iCs w:val="0"/>
                <w:snapToGrid w:val="0"/>
                <w:color w:val="000000"/>
                <w:kern w:val="0"/>
                <w:sz w:val="16"/>
                <w:szCs w:val="16"/>
                <w:u w:val="none"/>
                <w:lang w:val="en-US" w:eastAsia="zh-CN" w:bidi="ar"/>
              </w:rPr>
              <w:t>功能</w:t>
            </w:r>
          </w:p>
        </w:tc>
        <w:tc>
          <w:tcPr>
            <w:tcW w:w="480" w:type="dxa"/>
            <w:tcBorders>
              <w:top w:val="single" w:color="000000" w:sz="8" w:space="0"/>
              <w:left w:val="nil"/>
              <w:bottom w:val="single" w:color="000000" w:sz="8" w:space="0"/>
              <w:right w:val="single" w:color="000000" w:sz="8" w:space="0"/>
            </w:tcBorders>
            <w:shd w:val="clear" w:color="auto" w:fill="auto"/>
            <w:vAlign w:val="center"/>
          </w:tcPr>
          <w:p w14:paraId="0C6FE524">
            <w:pPr>
              <w:keepNext w:val="0"/>
              <w:keepLines w:val="0"/>
              <w:widowControl/>
              <w:suppressLineNumbers w:val="0"/>
              <w:jc w:val="center"/>
              <w:textAlignment w:val="center"/>
              <w:rPr>
                <w:rFonts w:hint="eastAsia" w:ascii="仿宋_GB2312" w:hAnsi="宋体" w:eastAsia="仿宋_GB2312" w:cs="仿宋_GB2312"/>
                <w:b/>
                <w:bCs/>
                <w:i w:val="0"/>
                <w:iCs w:val="0"/>
                <w:color w:val="000000"/>
                <w:sz w:val="16"/>
                <w:szCs w:val="16"/>
                <w:u w:val="none"/>
              </w:rPr>
            </w:pPr>
            <w:r>
              <w:rPr>
                <w:rFonts w:hint="eastAsia" w:ascii="仿宋_GB2312" w:hAnsi="宋体" w:eastAsia="仿宋_GB2312" w:cs="仿宋_GB2312"/>
                <w:b/>
                <w:bCs/>
                <w:i w:val="0"/>
                <w:iCs w:val="0"/>
                <w:snapToGrid w:val="0"/>
                <w:color w:val="000000"/>
                <w:kern w:val="0"/>
                <w:sz w:val="16"/>
                <w:szCs w:val="16"/>
                <w:u w:val="none"/>
                <w:lang w:val="en-US" w:eastAsia="zh-CN" w:bidi="ar"/>
              </w:rPr>
              <w:t>网络打印</w:t>
            </w:r>
          </w:p>
        </w:tc>
        <w:tc>
          <w:tcPr>
            <w:tcW w:w="870" w:type="dxa"/>
            <w:tcBorders>
              <w:top w:val="single" w:color="000000" w:sz="8" w:space="0"/>
              <w:left w:val="nil"/>
              <w:bottom w:val="single" w:color="000000" w:sz="8" w:space="0"/>
              <w:right w:val="single" w:color="000000" w:sz="8" w:space="0"/>
            </w:tcBorders>
            <w:shd w:val="clear" w:color="auto" w:fill="auto"/>
            <w:vAlign w:val="center"/>
          </w:tcPr>
          <w:p w14:paraId="299BE9E8">
            <w:pPr>
              <w:keepNext w:val="0"/>
              <w:keepLines w:val="0"/>
              <w:widowControl/>
              <w:suppressLineNumbers w:val="0"/>
              <w:jc w:val="center"/>
              <w:textAlignment w:val="center"/>
              <w:rPr>
                <w:rFonts w:hint="eastAsia" w:ascii="仿宋_GB2312" w:hAnsi="宋体" w:eastAsia="仿宋_GB2312" w:cs="仿宋_GB2312"/>
                <w:b/>
                <w:bCs/>
                <w:i w:val="0"/>
                <w:iCs w:val="0"/>
                <w:color w:val="000000"/>
                <w:sz w:val="16"/>
                <w:szCs w:val="16"/>
                <w:u w:val="none"/>
              </w:rPr>
            </w:pPr>
            <w:r>
              <w:rPr>
                <w:rFonts w:hint="eastAsia" w:ascii="仿宋_GB2312" w:hAnsi="宋体" w:eastAsia="仿宋_GB2312" w:cs="仿宋_GB2312"/>
                <w:b/>
                <w:bCs/>
                <w:i w:val="0"/>
                <w:iCs w:val="0"/>
                <w:snapToGrid w:val="0"/>
                <w:color w:val="000000"/>
                <w:kern w:val="0"/>
                <w:sz w:val="16"/>
                <w:szCs w:val="16"/>
                <w:u w:val="none"/>
                <w:lang w:val="en-US" w:eastAsia="zh-CN" w:bidi="ar"/>
              </w:rPr>
              <w:t>进纸盒数量（个）</w:t>
            </w:r>
          </w:p>
        </w:tc>
        <w:tc>
          <w:tcPr>
            <w:tcW w:w="1079" w:type="dxa"/>
            <w:tcBorders>
              <w:top w:val="single" w:color="000000" w:sz="8" w:space="0"/>
              <w:left w:val="nil"/>
              <w:bottom w:val="single" w:color="000000" w:sz="8" w:space="0"/>
              <w:right w:val="single" w:color="000000" w:sz="8" w:space="0"/>
            </w:tcBorders>
            <w:shd w:val="clear" w:color="auto" w:fill="auto"/>
            <w:vAlign w:val="center"/>
          </w:tcPr>
          <w:p w14:paraId="7F99C10F">
            <w:pPr>
              <w:keepNext w:val="0"/>
              <w:keepLines w:val="0"/>
              <w:widowControl/>
              <w:suppressLineNumbers w:val="0"/>
              <w:jc w:val="center"/>
              <w:textAlignment w:val="center"/>
              <w:rPr>
                <w:rFonts w:hint="eastAsia" w:ascii="仿宋_GB2312" w:hAnsi="宋体" w:eastAsia="仿宋_GB2312" w:cs="仿宋_GB2312"/>
                <w:b/>
                <w:bCs/>
                <w:i w:val="0"/>
                <w:iCs w:val="0"/>
                <w:color w:val="000000"/>
                <w:sz w:val="16"/>
                <w:szCs w:val="16"/>
                <w:u w:val="none"/>
              </w:rPr>
            </w:pPr>
            <w:r>
              <w:rPr>
                <w:rFonts w:hint="eastAsia" w:ascii="仿宋_GB2312" w:hAnsi="宋体" w:eastAsia="仿宋_GB2312" w:cs="仿宋_GB2312"/>
                <w:b/>
                <w:bCs/>
                <w:i w:val="0"/>
                <w:iCs w:val="0"/>
                <w:snapToGrid w:val="0"/>
                <w:color w:val="000000"/>
                <w:kern w:val="0"/>
                <w:sz w:val="16"/>
                <w:szCs w:val="16"/>
                <w:u w:val="none"/>
                <w:lang w:val="en-US" w:eastAsia="zh-CN" w:bidi="ar"/>
              </w:rPr>
              <w:t>是否适配符合安全可靠测评要求的操作系统</w:t>
            </w:r>
          </w:p>
        </w:tc>
        <w:tc>
          <w:tcPr>
            <w:tcW w:w="876" w:type="dxa"/>
            <w:tcBorders>
              <w:top w:val="single" w:color="000000" w:sz="8" w:space="0"/>
              <w:left w:val="nil"/>
              <w:bottom w:val="single" w:color="000000" w:sz="8" w:space="0"/>
              <w:right w:val="single" w:color="000000" w:sz="8" w:space="0"/>
            </w:tcBorders>
            <w:shd w:val="clear" w:color="auto" w:fill="auto"/>
            <w:vAlign w:val="center"/>
          </w:tcPr>
          <w:p w14:paraId="43836E5E">
            <w:pPr>
              <w:keepNext w:val="0"/>
              <w:keepLines w:val="0"/>
              <w:widowControl/>
              <w:suppressLineNumbers w:val="0"/>
              <w:jc w:val="center"/>
              <w:textAlignment w:val="center"/>
              <w:rPr>
                <w:rFonts w:hint="eastAsia" w:ascii="仿宋_GB2312" w:hAnsi="宋体" w:eastAsia="仿宋_GB2312" w:cs="仿宋_GB2312"/>
                <w:b/>
                <w:bCs/>
                <w:i w:val="0"/>
                <w:iCs w:val="0"/>
                <w:color w:val="000000"/>
                <w:sz w:val="16"/>
                <w:szCs w:val="16"/>
                <w:u w:val="none"/>
              </w:rPr>
            </w:pPr>
            <w:r>
              <w:rPr>
                <w:rFonts w:hint="eastAsia" w:ascii="仿宋_GB2312" w:hAnsi="宋体" w:eastAsia="仿宋_GB2312" w:cs="仿宋_GB2312"/>
                <w:b/>
                <w:bCs/>
                <w:i w:val="0"/>
                <w:iCs w:val="0"/>
                <w:snapToGrid w:val="0"/>
                <w:color w:val="000000"/>
                <w:kern w:val="0"/>
                <w:sz w:val="16"/>
                <w:szCs w:val="16"/>
                <w:u w:val="none"/>
                <w:lang w:val="en-US" w:eastAsia="zh-CN" w:bidi="ar"/>
              </w:rPr>
              <w:t>适配的操作系统</w:t>
            </w:r>
          </w:p>
        </w:tc>
        <w:tc>
          <w:tcPr>
            <w:tcW w:w="720" w:type="dxa"/>
            <w:tcBorders>
              <w:top w:val="single" w:color="000000" w:sz="8" w:space="0"/>
              <w:left w:val="nil"/>
              <w:bottom w:val="single" w:color="000000" w:sz="8" w:space="0"/>
              <w:right w:val="single" w:color="000000" w:sz="8" w:space="0"/>
            </w:tcBorders>
            <w:shd w:val="clear" w:color="auto" w:fill="auto"/>
            <w:vAlign w:val="center"/>
          </w:tcPr>
          <w:p w14:paraId="4D3C9994">
            <w:pPr>
              <w:keepNext w:val="0"/>
              <w:keepLines w:val="0"/>
              <w:widowControl/>
              <w:suppressLineNumbers w:val="0"/>
              <w:jc w:val="center"/>
              <w:textAlignment w:val="center"/>
              <w:rPr>
                <w:rFonts w:hint="eastAsia" w:ascii="仿宋_GB2312" w:hAnsi="宋体" w:eastAsia="仿宋_GB2312" w:cs="仿宋_GB2312"/>
                <w:b/>
                <w:bCs/>
                <w:i w:val="0"/>
                <w:iCs w:val="0"/>
                <w:color w:val="000000"/>
                <w:sz w:val="16"/>
                <w:szCs w:val="16"/>
                <w:u w:val="none"/>
              </w:rPr>
            </w:pPr>
            <w:r>
              <w:rPr>
                <w:rFonts w:hint="eastAsia" w:ascii="仿宋_GB2312" w:hAnsi="宋体" w:eastAsia="仿宋_GB2312" w:cs="仿宋_GB2312"/>
                <w:b/>
                <w:bCs/>
                <w:i w:val="0"/>
                <w:iCs w:val="0"/>
                <w:snapToGrid w:val="0"/>
                <w:color w:val="000000"/>
                <w:kern w:val="0"/>
                <w:sz w:val="16"/>
                <w:szCs w:val="16"/>
                <w:u w:val="none"/>
                <w:lang w:val="en-US" w:eastAsia="zh-CN" w:bidi="ar"/>
              </w:rPr>
              <w:t>是否节能产品</w:t>
            </w:r>
          </w:p>
        </w:tc>
        <w:tc>
          <w:tcPr>
            <w:tcW w:w="756" w:type="dxa"/>
            <w:tcBorders>
              <w:top w:val="single" w:color="000000" w:sz="8" w:space="0"/>
              <w:left w:val="nil"/>
              <w:bottom w:val="single" w:color="000000" w:sz="8" w:space="0"/>
              <w:right w:val="single" w:color="000000" w:sz="8" w:space="0"/>
            </w:tcBorders>
            <w:shd w:val="clear" w:color="auto" w:fill="auto"/>
            <w:vAlign w:val="center"/>
          </w:tcPr>
          <w:p w14:paraId="011B8981">
            <w:pPr>
              <w:keepNext w:val="0"/>
              <w:keepLines w:val="0"/>
              <w:widowControl/>
              <w:suppressLineNumbers w:val="0"/>
              <w:jc w:val="center"/>
              <w:textAlignment w:val="center"/>
              <w:rPr>
                <w:rFonts w:hint="eastAsia" w:ascii="仿宋_GB2312" w:hAnsi="宋体" w:eastAsia="仿宋_GB2312" w:cs="仿宋_GB2312"/>
                <w:b/>
                <w:bCs/>
                <w:i w:val="0"/>
                <w:iCs w:val="0"/>
                <w:color w:val="000000"/>
                <w:sz w:val="16"/>
                <w:szCs w:val="16"/>
                <w:u w:val="none"/>
              </w:rPr>
            </w:pPr>
            <w:r>
              <w:rPr>
                <w:rFonts w:hint="eastAsia" w:ascii="仿宋_GB2312" w:hAnsi="宋体" w:eastAsia="仿宋_GB2312" w:cs="仿宋_GB2312"/>
                <w:b/>
                <w:bCs/>
                <w:i w:val="0"/>
                <w:iCs w:val="0"/>
                <w:snapToGrid w:val="0"/>
                <w:color w:val="000000"/>
                <w:kern w:val="0"/>
                <w:sz w:val="16"/>
                <w:szCs w:val="16"/>
                <w:u w:val="none"/>
                <w:lang w:val="en-US" w:eastAsia="zh-CN" w:bidi="ar"/>
              </w:rPr>
              <w:t>内存容量</w:t>
            </w:r>
          </w:p>
        </w:tc>
        <w:tc>
          <w:tcPr>
            <w:tcW w:w="756" w:type="dxa"/>
            <w:tcBorders>
              <w:top w:val="single" w:color="000000" w:sz="8" w:space="0"/>
              <w:left w:val="nil"/>
              <w:bottom w:val="single" w:color="000000" w:sz="8" w:space="0"/>
              <w:right w:val="single" w:color="000000" w:sz="8" w:space="0"/>
            </w:tcBorders>
            <w:shd w:val="clear" w:color="auto" w:fill="auto"/>
            <w:vAlign w:val="center"/>
          </w:tcPr>
          <w:p w14:paraId="38B2E50D">
            <w:pPr>
              <w:keepNext w:val="0"/>
              <w:keepLines w:val="0"/>
              <w:widowControl/>
              <w:suppressLineNumbers w:val="0"/>
              <w:jc w:val="center"/>
              <w:textAlignment w:val="center"/>
              <w:rPr>
                <w:rFonts w:hint="eastAsia" w:ascii="仿宋_GB2312" w:hAnsi="宋体" w:eastAsia="仿宋_GB2312" w:cs="仿宋_GB2312"/>
                <w:b/>
                <w:bCs/>
                <w:i w:val="0"/>
                <w:iCs w:val="0"/>
                <w:color w:val="000000"/>
                <w:sz w:val="16"/>
                <w:szCs w:val="16"/>
                <w:u w:val="none"/>
              </w:rPr>
            </w:pPr>
            <w:r>
              <w:rPr>
                <w:rFonts w:hint="eastAsia" w:ascii="仿宋_GB2312" w:hAnsi="宋体" w:eastAsia="仿宋_GB2312" w:cs="仿宋_GB2312"/>
                <w:b/>
                <w:bCs/>
                <w:i w:val="0"/>
                <w:iCs w:val="0"/>
                <w:snapToGrid w:val="0"/>
                <w:color w:val="000000"/>
                <w:kern w:val="0"/>
                <w:sz w:val="16"/>
                <w:szCs w:val="16"/>
                <w:u w:val="none"/>
                <w:lang w:val="en-US" w:eastAsia="zh-CN" w:bidi="ar"/>
              </w:rPr>
              <w:t>免费质保期 （年）</w:t>
            </w:r>
          </w:p>
        </w:tc>
        <w:tc>
          <w:tcPr>
            <w:tcW w:w="564" w:type="dxa"/>
            <w:tcBorders>
              <w:top w:val="single" w:color="000000" w:sz="8" w:space="0"/>
              <w:left w:val="nil"/>
              <w:bottom w:val="single" w:color="000000" w:sz="8" w:space="0"/>
              <w:right w:val="single" w:color="000000" w:sz="8" w:space="0"/>
            </w:tcBorders>
            <w:shd w:val="clear" w:color="auto" w:fill="auto"/>
            <w:vAlign w:val="center"/>
          </w:tcPr>
          <w:p w14:paraId="4B2F8547">
            <w:pPr>
              <w:keepNext w:val="0"/>
              <w:keepLines w:val="0"/>
              <w:widowControl/>
              <w:suppressLineNumbers w:val="0"/>
              <w:jc w:val="center"/>
              <w:textAlignment w:val="center"/>
              <w:rPr>
                <w:rFonts w:hint="eastAsia" w:ascii="仿宋_GB2312" w:hAnsi="宋体" w:eastAsia="仿宋_GB2312" w:cs="仿宋_GB2312"/>
                <w:b/>
                <w:bCs/>
                <w:i w:val="0"/>
                <w:iCs w:val="0"/>
                <w:color w:val="000000"/>
                <w:sz w:val="16"/>
                <w:szCs w:val="16"/>
                <w:u w:val="none"/>
              </w:rPr>
            </w:pPr>
            <w:r>
              <w:rPr>
                <w:rFonts w:hint="eastAsia" w:ascii="仿宋_GB2312" w:hAnsi="宋体" w:eastAsia="仿宋_GB2312" w:cs="仿宋_GB2312"/>
                <w:b/>
                <w:bCs/>
                <w:i w:val="0"/>
                <w:iCs w:val="0"/>
                <w:snapToGrid w:val="0"/>
                <w:color w:val="000000"/>
                <w:kern w:val="0"/>
                <w:sz w:val="16"/>
                <w:szCs w:val="16"/>
                <w:u w:val="none"/>
                <w:lang w:val="en-US" w:eastAsia="zh-CN" w:bidi="ar"/>
              </w:rPr>
              <w:t>工作台</w:t>
            </w:r>
          </w:p>
        </w:tc>
        <w:tc>
          <w:tcPr>
            <w:tcW w:w="792" w:type="dxa"/>
            <w:tcBorders>
              <w:top w:val="single" w:color="000000" w:sz="8" w:space="0"/>
              <w:left w:val="nil"/>
              <w:bottom w:val="single" w:color="000000" w:sz="8" w:space="0"/>
              <w:right w:val="single" w:color="000000" w:sz="8" w:space="0"/>
            </w:tcBorders>
            <w:shd w:val="clear" w:color="auto" w:fill="auto"/>
            <w:vAlign w:val="center"/>
          </w:tcPr>
          <w:p w14:paraId="0CEB06BA">
            <w:pPr>
              <w:keepNext w:val="0"/>
              <w:keepLines w:val="0"/>
              <w:widowControl/>
              <w:suppressLineNumbers w:val="0"/>
              <w:jc w:val="center"/>
              <w:textAlignment w:val="center"/>
              <w:rPr>
                <w:rFonts w:hint="eastAsia" w:ascii="仿宋_GB2312" w:hAnsi="宋体" w:eastAsia="仿宋_GB2312" w:cs="仿宋_GB2312"/>
                <w:b/>
                <w:bCs/>
                <w:i w:val="0"/>
                <w:iCs w:val="0"/>
                <w:color w:val="000000"/>
                <w:sz w:val="16"/>
                <w:szCs w:val="16"/>
                <w:u w:val="none"/>
              </w:rPr>
            </w:pPr>
            <w:r>
              <w:rPr>
                <w:rFonts w:hint="eastAsia" w:ascii="仿宋_GB2312" w:hAnsi="宋体" w:eastAsia="仿宋_GB2312" w:cs="仿宋_GB2312"/>
                <w:b/>
                <w:bCs/>
                <w:i w:val="0"/>
                <w:iCs w:val="0"/>
                <w:snapToGrid w:val="0"/>
                <w:color w:val="000000"/>
                <w:kern w:val="0"/>
                <w:sz w:val="16"/>
                <w:szCs w:val="16"/>
                <w:u w:val="none"/>
                <w:lang w:val="en-US" w:eastAsia="zh-CN" w:bidi="ar"/>
              </w:rPr>
              <w:t>最高限价（元）</w:t>
            </w:r>
          </w:p>
        </w:tc>
      </w:tr>
      <w:tr w14:paraId="7699AA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9" w:hRule="atLeast"/>
        </w:trPr>
        <w:tc>
          <w:tcPr>
            <w:tcW w:w="552" w:type="dxa"/>
            <w:tcBorders>
              <w:top w:val="nil"/>
              <w:left w:val="single" w:color="000000" w:sz="8" w:space="0"/>
              <w:bottom w:val="single" w:color="000000" w:sz="8" w:space="0"/>
              <w:right w:val="single" w:color="000000" w:sz="8" w:space="0"/>
            </w:tcBorders>
            <w:shd w:val="clear" w:color="auto" w:fill="auto"/>
            <w:vAlign w:val="center"/>
          </w:tcPr>
          <w:p w14:paraId="4295B353">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w:t>
            </w:r>
          </w:p>
        </w:tc>
        <w:tc>
          <w:tcPr>
            <w:tcW w:w="617" w:type="dxa"/>
            <w:tcBorders>
              <w:top w:val="nil"/>
              <w:left w:val="nil"/>
              <w:bottom w:val="single" w:color="000000" w:sz="8" w:space="0"/>
              <w:right w:val="single" w:color="000000" w:sz="8" w:space="0"/>
            </w:tcBorders>
            <w:shd w:val="clear" w:color="auto" w:fill="auto"/>
            <w:vAlign w:val="center"/>
          </w:tcPr>
          <w:p w14:paraId="19F5E0BD">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激光</w:t>
            </w:r>
          </w:p>
        </w:tc>
        <w:tc>
          <w:tcPr>
            <w:tcW w:w="511" w:type="dxa"/>
            <w:tcBorders>
              <w:top w:val="nil"/>
              <w:left w:val="nil"/>
              <w:bottom w:val="single" w:color="000000" w:sz="8" w:space="0"/>
              <w:right w:val="single" w:color="000000" w:sz="8" w:space="0"/>
            </w:tcBorders>
            <w:shd w:val="clear" w:color="auto" w:fill="auto"/>
            <w:vAlign w:val="center"/>
          </w:tcPr>
          <w:p w14:paraId="22E3DAC5">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黑白</w:t>
            </w:r>
          </w:p>
        </w:tc>
        <w:tc>
          <w:tcPr>
            <w:tcW w:w="624" w:type="dxa"/>
            <w:tcBorders>
              <w:top w:val="nil"/>
              <w:left w:val="nil"/>
              <w:bottom w:val="single" w:color="000000" w:sz="8" w:space="0"/>
              <w:right w:val="single" w:color="000000" w:sz="8" w:space="0"/>
            </w:tcBorders>
            <w:shd w:val="clear" w:color="auto" w:fill="auto"/>
            <w:vAlign w:val="center"/>
          </w:tcPr>
          <w:p w14:paraId="4F6E6F30">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A3</w:t>
            </w:r>
          </w:p>
        </w:tc>
        <w:tc>
          <w:tcPr>
            <w:tcW w:w="756" w:type="dxa"/>
            <w:tcBorders>
              <w:top w:val="nil"/>
              <w:left w:val="nil"/>
              <w:bottom w:val="single" w:color="000000" w:sz="8" w:space="0"/>
              <w:right w:val="single" w:color="000000" w:sz="8" w:space="0"/>
            </w:tcBorders>
            <w:shd w:val="clear" w:color="auto" w:fill="auto"/>
            <w:vAlign w:val="center"/>
          </w:tcPr>
          <w:p w14:paraId="66150AC3">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不支持/支持</w:t>
            </w:r>
          </w:p>
        </w:tc>
        <w:tc>
          <w:tcPr>
            <w:tcW w:w="792" w:type="dxa"/>
            <w:tcBorders>
              <w:top w:val="nil"/>
              <w:left w:val="nil"/>
              <w:bottom w:val="single" w:color="000000" w:sz="8" w:space="0"/>
              <w:right w:val="single" w:color="000000" w:sz="8" w:space="0"/>
            </w:tcBorders>
            <w:shd w:val="clear" w:color="auto" w:fill="auto"/>
            <w:vAlign w:val="center"/>
          </w:tcPr>
          <w:p w14:paraId="1BA70BAD">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≥20</w:t>
            </w:r>
          </w:p>
        </w:tc>
        <w:tc>
          <w:tcPr>
            <w:tcW w:w="835" w:type="dxa"/>
            <w:tcBorders>
              <w:top w:val="nil"/>
              <w:left w:val="nil"/>
              <w:bottom w:val="single" w:color="000000" w:sz="8" w:space="0"/>
              <w:right w:val="single" w:color="000000" w:sz="8" w:space="0"/>
            </w:tcBorders>
            <w:shd w:val="clear" w:color="auto" w:fill="auto"/>
            <w:vAlign w:val="center"/>
          </w:tcPr>
          <w:p w14:paraId="76A1B4AF">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不限</w:t>
            </w:r>
          </w:p>
        </w:tc>
        <w:tc>
          <w:tcPr>
            <w:tcW w:w="974" w:type="dxa"/>
            <w:tcBorders>
              <w:top w:val="nil"/>
              <w:left w:val="nil"/>
              <w:bottom w:val="single" w:color="000000" w:sz="8" w:space="0"/>
              <w:right w:val="single" w:color="000000" w:sz="8" w:space="0"/>
            </w:tcBorders>
            <w:shd w:val="clear" w:color="auto" w:fill="auto"/>
            <w:vAlign w:val="center"/>
          </w:tcPr>
          <w:p w14:paraId="0B30D0C7">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≥250</w:t>
            </w:r>
          </w:p>
        </w:tc>
        <w:tc>
          <w:tcPr>
            <w:tcW w:w="721" w:type="dxa"/>
            <w:tcBorders>
              <w:top w:val="nil"/>
              <w:left w:val="nil"/>
              <w:bottom w:val="single" w:color="000000" w:sz="8" w:space="0"/>
              <w:right w:val="single" w:color="000000" w:sz="8" w:space="0"/>
            </w:tcBorders>
            <w:shd w:val="clear" w:color="auto" w:fill="auto"/>
            <w:vAlign w:val="center"/>
          </w:tcPr>
          <w:p w14:paraId="43CB32FB">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不限</w:t>
            </w:r>
          </w:p>
        </w:tc>
        <w:tc>
          <w:tcPr>
            <w:tcW w:w="703" w:type="dxa"/>
            <w:tcBorders>
              <w:top w:val="nil"/>
              <w:left w:val="nil"/>
              <w:bottom w:val="single" w:color="000000" w:sz="8" w:space="0"/>
              <w:right w:val="single" w:color="000000" w:sz="8" w:space="0"/>
            </w:tcBorders>
            <w:shd w:val="clear" w:color="auto" w:fill="auto"/>
            <w:vAlign w:val="center"/>
          </w:tcPr>
          <w:p w14:paraId="62E13A32">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液晶显示屏</w:t>
            </w:r>
          </w:p>
        </w:tc>
        <w:tc>
          <w:tcPr>
            <w:tcW w:w="686" w:type="dxa"/>
            <w:tcBorders>
              <w:top w:val="nil"/>
              <w:left w:val="nil"/>
              <w:bottom w:val="single" w:color="000000" w:sz="8" w:space="0"/>
              <w:right w:val="single" w:color="000000" w:sz="8" w:space="0"/>
            </w:tcBorders>
            <w:shd w:val="clear" w:color="auto" w:fill="auto"/>
            <w:vAlign w:val="center"/>
          </w:tcPr>
          <w:p w14:paraId="3CE551C6">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至少含复印/打印/扫描</w:t>
            </w:r>
          </w:p>
        </w:tc>
        <w:tc>
          <w:tcPr>
            <w:tcW w:w="480" w:type="dxa"/>
            <w:tcBorders>
              <w:top w:val="nil"/>
              <w:left w:val="nil"/>
              <w:bottom w:val="single" w:color="000000" w:sz="8" w:space="0"/>
              <w:right w:val="single" w:color="000000" w:sz="8" w:space="0"/>
            </w:tcBorders>
            <w:shd w:val="clear" w:color="auto" w:fill="auto"/>
            <w:vAlign w:val="center"/>
          </w:tcPr>
          <w:p w14:paraId="0650DB0B">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支持</w:t>
            </w:r>
          </w:p>
        </w:tc>
        <w:tc>
          <w:tcPr>
            <w:tcW w:w="870" w:type="dxa"/>
            <w:tcBorders>
              <w:top w:val="nil"/>
              <w:left w:val="nil"/>
              <w:bottom w:val="single" w:color="000000" w:sz="8" w:space="0"/>
              <w:right w:val="single" w:color="000000" w:sz="8" w:space="0"/>
            </w:tcBorders>
            <w:shd w:val="clear" w:color="auto" w:fill="auto"/>
            <w:vAlign w:val="center"/>
          </w:tcPr>
          <w:p w14:paraId="05AAB934">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w:t>
            </w:r>
          </w:p>
        </w:tc>
        <w:tc>
          <w:tcPr>
            <w:tcW w:w="1079" w:type="dxa"/>
            <w:tcBorders>
              <w:top w:val="nil"/>
              <w:left w:val="nil"/>
              <w:bottom w:val="single" w:color="000000" w:sz="8" w:space="0"/>
              <w:right w:val="single" w:color="000000" w:sz="8" w:space="0"/>
            </w:tcBorders>
            <w:shd w:val="clear" w:color="auto" w:fill="auto"/>
            <w:vAlign w:val="center"/>
          </w:tcPr>
          <w:p w14:paraId="43292FD1">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876" w:type="dxa"/>
            <w:tcBorders>
              <w:top w:val="nil"/>
              <w:left w:val="nil"/>
              <w:bottom w:val="single" w:color="000000" w:sz="8" w:space="0"/>
              <w:right w:val="single" w:color="000000" w:sz="8" w:space="0"/>
            </w:tcBorders>
            <w:shd w:val="clear" w:color="auto" w:fill="auto"/>
            <w:vAlign w:val="center"/>
          </w:tcPr>
          <w:p w14:paraId="2A630C23">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由供应商填写产品适配的所有操作系统</w:t>
            </w:r>
          </w:p>
        </w:tc>
        <w:tc>
          <w:tcPr>
            <w:tcW w:w="720" w:type="dxa"/>
            <w:tcBorders>
              <w:top w:val="nil"/>
              <w:left w:val="nil"/>
              <w:bottom w:val="single" w:color="000000" w:sz="8" w:space="0"/>
              <w:right w:val="single" w:color="000000" w:sz="8" w:space="0"/>
            </w:tcBorders>
            <w:shd w:val="clear" w:color="auto" w:fill="auto"/>
            <w:vAlign w:val="center"/>
          </w:tcPr>
          <w:p w14:paraId="541CBD89">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756" w:type="dxa"/>
            <w:tcBorders>
              <w:top w:val="nil"/>
              <w:left w:val="nil"/>
              <w:bottom w:val="single" w:color="000000" w:sz="8" w:space="0"/>
              <w:right w:val="single" w:color="000000" w:sz="8" w:space="0"/>
            </w:tcBorders>
            <w:shd w:val="clear" w:color="auto" w:fill="auto"/>
            <w:vAlign w:val="center"/>
          </w:tcPr>
          <w:p w14:paraId="4D289FD2">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≥256MB</w:t>
            </w:r>
          </w:p>
        </w:tc>
        <w:tc>
          <w:tcPr>
            <w:tcW w:w="756" w:type="dxa"/>
            <w:tcBorders>
              <w:top w:val="nil"/>
              <w:left w:val="nil"/>
              <w:bottom w:val="single" w:color="000000" w:sz="8" w:space="0"/>
              <w:right w:val="single" w:color="000000" w:sz="8" w:space="0"/>
            </w:tcBorders>
            <w:shd w:val="clear" w:color="auto" w:fill="auto"/>
            <w:vAlign w:val="center"/>
          </w:tcPr>
          <w:p w14:paraId="78AFE6A4">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w:t>
            </w:r>
          </w:p>
        </w:tc>
        <w:tc>
          <w:tcPr>
            <w:tcW w:w="564" w:type="dxa"/>
            <w:tcBorders>
              <w:top w:val="nil"/>
              <w:left w:val="nil"/>
              <w:bottom w:val="single" w:color="000000" w:sz="8" w:space="0"/>
              <w:right w:val="single" w:color="000000" w:sz="8" w:space="0"/>
            </w:tcBorders>
            <w:shd w:val="clear" w:color="auto" w:fill="auto"/>
            <w:vAlign w:val="center"/>
          </w:tcPr>
          <w:p w14:paraId="1CB3E807">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原装工作台</w:t>
            </w:r>
          </w:p>
        </w:tc>
        <w:tc>
          <w:tcPr>
            <w:tcW w:w="792" w:type="dxa"/>
            <w:tcBorders>
              <w:top w:val="nil"/>
              <w:left w:val="nil"/>
              <w:bottom w:val="single" w:color="000000" w:sz="8" w:space="0"/>
              <w:right w:val="single" w:color="000000" w:sz="8" w:space="0"/>
            </w:tcBorders>
            <w:shd w:val="clear" w:color="auto" w:fill="auto"/>
            <w:vAlign w:val="center"/>
          </w:tcPr>
          <w:p w14:paraId="4E69AEC7">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6000</w:t>
            </w:r>
          </w:p>
        </w:tc>
      </w:tr>
      <w:tr w14:paraId="2490E6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9" w:hRule="atLeast"/>
        </w:trPr>
        <w:tc>
          <w:tcPr>
            <w:tcW w:w="552" w:type="dxa"/>
            <w:tcBorders>
              <w:top w:val="nil"/>
              <w:left w:val="single" w:color="000000" w:sz="8" w:space="0"/>
              <w:bottom w:val="single" w:color="000000" w:sz="8" w:space="0"/>
              <w:right w:val="single" w:color="000000" w:sz="8" w:space="0"/>
            </w:tcBorders>
            <w:shd w:val="clear" w:color="auto" w:fill="auto"/>
            <w:vAlign w:val="center"/>
          </w:tcPr>
          <w:p w14:paraId="43ABD980">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w:t>
            </w:r>
          </w:p>
        </w:tc>
        <w:tc>
          <w:tcPr>
            <w:tcW w:w="617" w:type="dxa"/>
            <w:tcBorders>
              <w:top w:val="nil"/>
              <w:left w:val="nil"/>
              <w:bottom w:val="single" w:color="000000" w:sz="8" w:space="0"/>
              <w:right w:val="single" w:color="000000" w:sz="8" w:space="0"/>
            </w:tcBorders>
            <w:shd w:val="clear" w:color="auto" w:fill="auto"/>
            <w:vAlign w:val="center"/>
          </w:tcPr>
          <w:p w14:paraId="02897D19">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激光</w:t>
            </w:r>
          </w:p>
        </w:tc>
        <w:tc>
          <w:tcPr>
            <w:tcW w:w="511" w:type="dxa"/>
            <w:tcBorders>
              <w:top w:val="nil"/>
              <w:left w:val="nil"/>
              <w:bottom w:val="single" w:color="000000" w:sz="8" w:space="0"/>
              <w:right w:val="single" w:color="000000" w:sz="8" w:space="0"/>
            </w:tcBorders>
            <w:shd w:val="clear" w:color="auto" w:fill="auto"/>
            <w:vAlign w:val="center"/>
          </w:tcPr>
          <w:p w14:paraId="52F9C41E">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黑白</w:t>
            </w:r>
          </w:p>
        </w:tc>
        <w:tc>
          <w:tcPr>
            <w:tcW w:w="624" w:type="dxa"/>
            <w:tcBorders>
              <w:top w:val="nil"/>
              <w:left w:val="nil"/>
              <w:bottom w:val="single" w:color="000000" w:sz="8" w:space="0"/>
              <w:right w:val="single" w:color="000000" w:sz="8" w:space="0"/>
            </w:tcBorders>
            <w:shd w:val="clear" w:color="auto" w:fill="auto"/>
            <w:vAlign w:val="center"/>
          </w:tcPr>
          <w:p w14:paraId="63A27D28">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A3</w:t>
            </w:r>
          </w:p>
        </w:tc>
        <w:tc>
          <w:tcPr>
            <w:tcW w:w="756" w:type="dxa"/>
            <w:tcBorders>
              <w:top w:val="nil"/>
              <w:left w:val="nil"/>
              <w:bottom w:val="single" w:color="000000" w:sz="8" w:space="0"/>
              <w:right w:val="single" w:color="000000" w:sz="8" w:space="0"/>
            </w:tcBorders>
            <w:shd w:val="clear" w:color="auto" w:fill="auto"/>
            <w:vAlign w:val="center"/>
          </w:tcPr>
          <w:p w14:paraId="7E52CA73">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支持</w:t>
            </w:r>
          </w:p>
        </w:tc>
        <w:tc>
          <w:tcPr>
            <w:tcW w:w="792" w:type="dxa"/>
            <w:tcBorders>
              <w:top w:val="nil"/>
              <w:left w:val="nil"/>
              <w:bottom w:val="single" w:color="000000" w:sz="8" w:space="0"/>
              <w:right w:val="single" w:color="000000" w:sz="8" w:space="0"/>
            </w:tcBorders>
            <w:shd w:val="clear" w:color="auto" w:fill="auto"/>
            <w:vAlign w:val="center"/>
          </w:tcPr>
          <w:p w14:paraId="7F7FF144">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≥22</w:t>
            </w:r>
          </w:p>
        </w:tc>
        <w:tc>
          <w:tcPr>
            <w:tcW w:w="835" w:type="dxa"/>
            <w:tcBorders>
              <w:top w:val="nil"/>
              <w:left w:val="nil"/>
              <w:bottom w:val="single" w:color="000000" w:sz="8" w:space="0"/>
              <w:right w:val="single" w:color="000000" w:sz="8" w:space="0"/>
            </w:tcBorders>
            <w:shd w:val="clear" w:color="auto" w:fill="auto"/>
            <w:vAlign w:val="center"/>
          </w:tcPr>
          <w:p w14:paraId="4F8DA2F9">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≥22</w:t>
            </w:r>
          </w:p>
        </w:tc>
        <w:tc>
          <w:tcPr>
            <w:tcW w:w="974" w:type="dxa"/>
            <w:tcBorders>
              <w:top w:val="nil"/>
              <w:left w:val="nil"/>
              <w:bottom w:val="single" w:color="000000" w:sz="8" w:space="0"/>
              <w:right w:val="single" w:color="000000" w:sz="8" w:space="0"/>
            </w:tcBorders>
            <w:shd w:val="clear" w:color="auto" w:fill="auto"/>
            <w:vAlign w:val="center"/>
          </w:tcPr>
          <w:p w14:paraId="77B76F0B">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≥250</w:t>
            </w:r>
          </w:p>
        </w:tc>
        <w:tc>
          <w:tcPr>
            <w:tcW w:w="721" w:type="dxa"/>
            <w:tcBorders>
              <w:top w:val="nil"/>
              <w:left w:val="nil"/>
              <w:bottom w:val="single" w:color="000000" w:sz="8" w:space="0"/>
              <w:right w:val="single" w:color="000000" w:sz="8" w:space="0"/>
            </w:tcBorders>
            <w:shd w:val="clear" w:color="auto" w:fill="auto"/>
            <w:vAlign w:val="center"/>
          </w:tcPr>
          <w:p w14:paraId="2F225901">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703" w:type="dxa"/>
            <w:tcBorders>
              <w:top w:val="nil"/>
              <w:left w:val="nil"/>
              <w:bottom w:val="single" w:color="000000" w:sz="8" w:space="0"/>
              <w:right w:val="single" w:color="000000" w:sz="8" w:space="0"/>
            </w:tcBorders>
            <w:shd w:val="clear" w:color="auto" w:fill="auto"/>
            <w:vAlign w:val="center"/>
          </w:tcPr>
          <w:p w14:paraId="467C9674">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液晶显示屏</w:t>
            </w:r>
          </w:p>
        </w:tc>
        <w:tc>
          <w:tcPr>
            <w:tcW w:w="686" w:type="dxa"/>
            <w:tcBorders>
              <w:top w:val="nil"/>
              <w:left w:val="nil"/>
              <w:bottom w:val="single" w:color="000000" w:sz="8" w:space="0"/>
              <w:right w:val="single" w:color="000000" w:sz="8" w:space="0"/>
            </w:tcBorders>
            <w:shd w:val="clear" w:color="auto" w:fill="auto"/>
            <w:vAlign w:val="center"/>
          </w:tcPr>
          <w:p w14:paraId="6703C8FF">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至少含复印/打印/扫描</w:t>
            </w:r>
          </w:p>
        </w:tc>
        <w:tc>
          <w:tcPr>
            <w:tcW w:w="480" w:type="dxa"/>
            <w:tcBorders>
              <w:top w:val="nil"/>
              <w:left w:val="nil"/>
              <w:bottom w:val="single" w:color="000000" w:sz="8" w:space="0"/>
              <w:right w:val="single" w:color="000000" w:sz="8" w:space="0"/>
            </w:tcBorders>
            <w:shd w:val="clear" w:color="auto" w:fill="auto"/>
            <w:vAlign w:val="center"/>
          </w:tcPr>
          <w:p w14:paraId="6515634A">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支持</w:t>
            </w:r>
          </w:p>
        </w:tc>
        <w:tc>
          <w:tcPr>
            <w:tcW w:w="870" w:type="dxa"/>
            <w:tcBorders>
              <w:top w:val="nil"/>
              <w:left w:val="nil"/>
              <w:bottom w:val="single" w:color="000000" w:sz="8" w:space="0"/>
              <w:right w:val="single" w:color="000000" w:sz="8" w:space="0"/>
            </w:tcBorders>
            <w:shd w:val="clear" w:color="auto" w:fill="auto"/>
            <w:vAlign w:val="center"/>
          </w:tcPr>
          <w:p w14:paraId="24695677">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w:t>
            </w:r>
          </w:p>
        </w:tc>
        <w:tc>
          <w:tcPr>
            <w:tcW w:w="1079" w:type="dxa"/>
            <w:tcBorders>
              <w:top w:val="nil"/>
              <w:left w:val="nil"/>
              <w:bottom w:val="single" w:color="000000" w:sz="8" w:space="0"/>
              <w:right w:val="single" w:color="000000" w:sz="8" w:space="0"/>
            </w:tcBorders>
            <w:shd w:val="clear" w:color="auto" w:fill="auto"/>
            <w:vAlign w:val="center"/>
          </w:tcPr>
          <w:p w14:paraId="17019023">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876" w:type="dxa"/>
            <w:tcBorders>
              <w:top w:val="nil"/>
              <w:left w:val="nil"/>
              <w:bottom w:val="single" w:color="000000" w:sz="8" w:space="0"/>
              <w:right w:val="single" w:color="000000" w:sz="8" w:space="0"/>
            </w:tcBorders>
            <w:shd w:val="clear" w:color="auto" w:fill="auto"/>
            <w:vAlign w:val="center"/>
          </w:tcPr>
          <w:p w14:paraId="42AE6F00">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由供应商填写产品适配的所有操作系统</w:t>
            </w:r>
          </w:p>
        </w:tc>
        <w:tc>
          <w:tcPr>
            <w:tcW w:w="720" w:type="dxa"/>
            <w:tcBorders>
              <w:top w:val="nil"/>
              <w:left w:val="nil"/>
              <w:bottom w:val="single" w:color="000000" w:sz="8" w:space="0"/>
              <w:right w:val="single" w:color="000000" w:sz="8" w:space="0"/>
            </w:tcBorders>
            <w:shd w:val="clear" w:color="auto" w:fill="auto"/>
            <w:vAlign w:val="center"/>
          </w:tcPr>
          <w:p w14:paraId="590F049E">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756" w:type="dxa"/>
            <w:tcBorders>
              <w:top w:val="nil"/>
              <w:left w:val="nil"/>
              <w:bottom w:val="single" w:color="000000" w:sz="8" w:space="0"/>
              <w:right w:val="single" w:color="000000" w:sz="8" w:space="0"/>
            </w:tcBorders>
            <w:shd w:val="clear" w:color="auto" w:fill="auto"/>
            <w:vAlign w:val="center"/>
          </w:tcPr>
          <w:p w14:paraId="10C2A17A">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≥256MB</w:t>
            </w:r>
          </w:p>
        </w:tc>
        <w:tc>
          <w:tcPr>
            <w:tcW w:w="756" w:type="dxa"/>
            <w:tcBorders>
              <w:top w:val="nil"/>
              <w:left w:val="nil"/>
              <w:bottom w:val="single" w:color="000000" w:sz="8" w:space="0"/>
              <w:right w:val="single" w:color="000000" w:sz="8" w:space="0"/>
            </w:tcBorders>
            <w:shd w:val="clear" w:color="auto" w:fill="auto"/>
            <w:vAlign w:val="center"/>
          </w:tcPr>
          <w:p w14:paraId="5A1B9873">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w:t>
            </w:r>
          </w:p>
        </w:tc>
        <w:tc>
          <w:tcPr>
            <w:tcW w:w="564" w:type="dxa"/>
            <w:tcBorders>
              <w:top w:val="nil"/>
              <w:left w:val="nil"/>
              <w:bottom w:val="single" w:color="000000" w:sz="8" w:space="0"/>
              <w:right w:val="single" w:color="000000" w:sz="8" w:space="0"/>
            </w:tcBorders>
            <w:shd w:val="clear" w:color="auto" w:fill="auto"/>
            <w:vAlign w:val="center"/>
          </w:tcPr>
          <w:p w14:paraId="08CE58E7">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原装工作台</w:t>
            </w:r>
          </w:p>
        </w:tc>
        <w:tc>
          <w:tcPr>
            <w:tcW w:w="792" w:type="dxa"/>
            <w:tcBorders>
              <w:top w:val="nil"/>
              <w:left w:val="nil"/>
              <w:bottom w:val="single" w:color="000000" w:sz="8" w:space="0"/>
              <w:right w:val="single" w:color="000000" w:sz="8" w:space="0"/>
            </w:tcBorders>
            <w:shd w:val="clear" w:color="auto" w:fill="auto"/>
            <w:vAlign w:val="center"/>
          </w:tcPr>
          <w:p w14:paraId="7C8A9530">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8000</w:t>
            </w:r>
          </w:p>
        </w:tc>
      </w:tr>
      <w:tr w14:paraId="45E1C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9" w:hRule="atLeast"/>
        </w:trPr>
        <w:tc>
          <w:tcPr>
            <w:tcW w:w="552" w:type="dxa"/>
            <w:tcBorders>
              <w:top w:val="nil"/>
              <w:left w:val="single" w:color="000000" w:sz="8" w:space="0"/>
              <w:bottom w:val="single" w:color="000000" w:sz="8" w:space="0"/>
              <w:right w:val="single" w:color="000000" w:sz="8" w:space="0"/>
            </w:tcBorders>
            <w:shd w:val="clear" w:color="auto" w:fill="auto"/>
            <w:vAlign w:val="center"/>
          </w:tcPr>
          <w:p w14:paraId="2D3781C2">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3</w:t>
            </w:r>
          </w:p>
        </w:tc>
        <w:tc>
          <w:tcPr>
            <w:tcW w:w="617" w:type="dxa"/>
            <w:tcBorders>
              <w:top w:val="nil"/>
              <w:left w:val="nil"/>
              <w:bottom w:val="single" w:color="000000" w:sz="8" w:space="0"/>
              <w:right w:val="single" w:color="000000" w:sz="8" w:space="0"/>
            </w:tcBorders>
            <w:shd w:val="clear" w:color="auto" w:fill="auto"/>
            <w:vAlign w:val="center"/>
          </w:tcPr>
          <w:p w14:paraId="31CDCFD8">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激光</w:t>
            </w:r>
          </w:p>
        </w:tc>
        <w:tc>
          <w:tcPr>
            <w:tcW w:w="511" w:type="dxa"/>
            <w:tcBorders>
              <w:top w:val="nil"/>
              <w:left w:val="nil"/>
              <w:bottom w:val="single" w:color="000000" w:sz="8" w:space="0"/>
              <w:right w:val="single" w:color="000000" w:sz="8" w:space="0"/>
            </w:tcBorders>
            <w:shd w:val="clear" w:color="auto" w:fill="auto"/>
            <w:vAlign w:val="center"/>
          </w:tcPr>
          <w:p w14:paraId="2CA13233">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黑白</w:t>
            </w:r>
          </w:p>
        </w:tc>
        <w:tc>
          <w:tcPr>
            <w:tcW w:w="624" w:type="dxa"/>
            <w:tcBorders>
              <w:top w:val="nil"/>
              <w:left w:val="nil"/>
              <w:bottom w:val="single" w:color="000000" w:sz="8" w:space="0"/>
              <w:right w:val="single" w:color="000000" w:sz="8" w:space="0"/>
            </w:tcBorders>
            <w:shd w:val="clear" w:color="auto" w:fill="auto"/>
            <w:vAlign w:val="center"/>
          </w:tcPr>
          <w:p w14:paraId="1E6E4D3D">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A3</w:t>
            </w:r>
          </w:p>
        </w:tc>
        <w:tc>
          <w:tcPr>
            <w:tcW w:w="756" w:type="dxa"/>
            <w:tcBorders>
              <w:top w:val="nil"/>
              <w:left w:val="nil"/>
              <w:bottom w:val="single" w:color="000000" w:sz="8" w:space="0"/>
              <w:right w:val="single" w:color="000000" w:sz="8" w:space="0"/>
            </w:tcBorders>
            <w:shd w:val="clear" w:color="auto" w:fill="auto"/>
            <w:vAlign w:val="center"/>
          </w:tcPr>
          <w:p w14:paraId="6F2C1A46">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支持</w:t>
            </w:r>
          </w:p>
        </w:tc>
        <w:tc>
          <w:tcPr>
            <w:tcW w:w="792" w:type="dxa"/>
            <w:tcBorders>
              <w:top w:val="nil"/>
              <w:left w:val="nil"/>
              <w:bottom w:val="single" w:color="000000" w:sz="8" w:space="0"/>
              <w:right w:val="single" w:color="000000" w:sz="8" w:space="0"/>
            </w:tcBorders>
            <w:shd w:val="clear" w:color="auto" w:fill="auto"/>
            <w:vAlign w:val="center"/>
          </w:tcPr>
          <w:p w14:paraId="48C9803A">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≥25</w:t>
            </w:r>
          </w:p>
        </w:tc>
        <w:tc>
          <w:tcPr>
            <w:tcW w:w="835" w:type="dxa"/>
            <w:tcBorders>
              <w:top w:val="nil"/>
              <w:left w:val="nil"/>
              <w:bottom w:val="single" w:color="000000" w:sz="8" w:space="0"/>
              <w:right w:val="single" w:color="000000" w:sz="8" w:space="0"/>
            </w:tcBorders>
            <w:shd w:val="clear" w:color="auto" w:fill="auto"/>
            <w:vAlign w:val="center"/>
          </w:tcPr>
          <w:p w14:paraId="18675876">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≥25</w:t>
            </w:r>
          </w:p>
        </w:tc>
        <w:tc>
          <w:tcPr>
            <w:tcW w:w="974" w:type="dxa"/>
            <w:tcBorders>
              <w:top w:val="nil"/>
              <w:left w:val="nil"/>
              <w:bottom w:val="single" w:color="000000" w:sz="8" w:space="0"/>
              <w:right w:val="single" w:color="000000" w:sz="8" w:space="0"/>
            </w:tcBorders>
            <w:shd w:val="clear" w:color="auto" w:fill="auto"/>
            <w:vAlign w:val="center"/>
          </w:tcPr>
          <w:p w14:paraId="0229BE72">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≥250</w:t>
            </w:r>
          </w:p>
        </w:tc>
        <w:tc>
          <w:tcPr>
            <w:tcW w:w="721" w:type="dxa"/>
            <w:tcBorders>
              <w:top w:val="nil"/>
              <w:left w:val="nil"/>
              <w:bottom w:val="single" w:color="000000" w:sz="8" w:space="0"/>
              <w:right w:val="single" w:color="000000" w:sz="8" w:space="0"/>
            </w:tcBorders>
            <w:shd w:val="clear" w:color="auto" w:fill="auto"/>
            <w:vAlign w:val="center"/>
          </w:tcPr>
          <w:p w14:paraId="3BA8DFFB">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703" w:type="dxa"/>
            <w:tcBorders>
              <w:top w:val="nil"/>
              <w:left w:val="nil"/>
              <w:bottom w:val="single" w:color="000000" w:sz="8" w:space="0"/>
              <w:right w:val="single" w:color="000000" w:sz="8" w:space="0"/>
            </w:tcBorders>
            <w:shd w:val="clear" w:color="auto" w:fill="auto"/>
            <w:vAlign w:val="center"/>
          </w:tcPr>
          <w:p w14:paraId="0AE5403F">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液晶显示屏/液晶触摸屏</w:t>
            </w:r>
          </w:p>
        </w:tc>
        <w:tc>
          <w:tcPr>
            <w:tcW w:w="686" w:type="dxa"/>
            <w:tcBorders>
              <w:top w:val="nil"/>
              <w:left w:val="nil"/>
              <w:bottom w:val="single" w:color="000000" w:sz="8" w:space="0"/>
              <w:right w:val="single" w:color="000000" w:sz="8" w:space="0"/>
            </w:tcBorders>
            <w:shd w:val="clear" w:color="auto" w:fill="auto"/>
            <w:vAlign w:val="center"/>
          </w:tcPr>
          <w:p w14:paraId="285265B9">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至少含复印/打印/扫描</w:t>
            </w:r>
          </w:p>
        </w:tc>
        <w:tc>
          <w:tcPr>
            <w:tcW w:w="480" w:type="dxa"/>
            <w:tcBorders>
              <w:top w:val="nil"/>
              <w:left w:val="nil"/>
              <w:bottom w:val="single" w:color="000000" w:sz="8" w:space="0"/>
              <w:right w:val="single" w:color="000000" w:sz="8" w:space="0"/>
            </w:tcBorders>
            <w:shd w:val="clear" w:color="auto" w:fill="auto"/>
            <w:vAlign w:val="center"/>
          </w:tcPr>
          <w:p w14:paraId="240F696F">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支持</w:t>
            </w:r>
          </w:p>
        </w:tc>
        <w:tc>
          <w:tcPr>
            <w:tcW w:w="870" w:type="dxa"/>
            <w:tcBorders>
              <w:top w:val="nil"/>
              <w:left w:val="nil"/>
              <w:bottom w:val="single" w:color="000000" w:sz="8" w:space="0"/>
              <w:right w:val="single" w:color="000000" w:sz="8" w:space="0"/>
            </w:tcBorders>
            <w:shd w:val="clear" w:color="auto" w:fill="auto"/>
            <w:vAlign w:val="center"/>
          </w:tcPr>
          <w:p w14:paraId="28D86284">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w:t>
            </w:r>
          </w:p>
        </w:tc>
        <w:tc>
          <w:tcPr>
            <w:tcW w:w="1079" w:type="dxa"/>
            <w:tcBorders>
              <w:top w:val="nil"/>
              <w:left w:val="nil"/>
              <w:bottom w:val="single" w:color="000000" w:sz="8" w:space="0"/>
              <w:right w:val="single" w:color="000000" w:sz="8" w:space="0"/>
            </w:tcBorders>
            <w:shd w:val="clear" w:color="auto" w:fill="auto"/>
            <w:vAlign w:val="center"/>
          </w:tcPr>
          <w:p w14:paraId="3C82F654">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876" w:type="dxa"/>
            <w:tcBorders>
              <w:top w:val="nil"/>
              <w:left w:val="nil"/>
              <w:bottom w:val="single" w:color="000000" w:sz="8" w:space="0"/>
              <w:right w:val="single" w:color="000000" w:sz="8" w:space="0"/>
            </w:tcBorders>
            <w:shd w:val="clear" w:color="auto" w:fill="auto"/>
            <w:vAlign w:val="center"/>
          </w:tcPr>
          <w:p w14:paraId="261BBA7C">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由供应商填写产品适配的所有操作系统</w:t>
            </w:r>
          </w:p>
        </w:tc>
        <w:tc>
          <w:tcPr>
            <w:tcW w:w="720" w:type="dxa"/>
            <w:tcBorders>
              <w:top w:val="nil"/>
              <w:left w:val="nil"/>
              <w:bottom w:val="single" w:color="000000" w:sz="8" w:space="0"/>
              <w:right w:val="single" w:color="000000" w:sz="8" w:space="0"/>
            </w:tcBorders>
            <w:shd w:val="clear" w:color="auto" w:fill="auto"/>
            <w:vAlign w:val="center"/>
          </w:tcPr>
          <w:p w14:paraId="42ADFB48">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756" w:type="dxa"/>
            <w:tcBorders>
              <w:top w:val="nil"/>
              <w:left w:val="nil"/>
              <w:bottom w:val="single" w:color="000000" w:sz="8" w:space="0"/>
              <w:right w:val="single" w:color="000000" w:sz="8" w:space="0"/>
            </w:tcBorders>
            <w:shd w:val="clear" w:color="auto" w:fill="auto"/>
            <w:vAlign w:val="center"/>
          </w:tcPr>
          <w:p w14:paraId="5255234E">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≥512MB</w:t>
            </w:r>
          </w:p>
        </w:tc>
        <w:tc>
          <w:tcPr>
            <w:tcW w:w="756" w:type="dxa"/>
            <w:tcBorders>
              <w:top w:val="nil"/>
              <w:left w:val="nil"/>
              <w:bottom w:val="single" w:color="000000" w:sz="8" w:space="0"/>
              <w:right w:val="single" w:color="000000" w:sz="8" w:space="0"/>
            </w:tcBorders>
            <w:shd w:val="clear" w:color="auto" w:fill="auto"/>
            <w:vAlign w:val="center"/>
          </w:tcPr>
          <w:p w14:paraId="706C4EA2">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w:t>
            </w:r>
          </w:p>
        </w:tc>
        <w:tc>
          <w:tcPr>
            <w:tcW w:w="564" w:type="dxa"/>
            <w:tcBorders>
              <w:top w:val="nil"/>
              <w:left w:val="nil"/>
              <w:bottom w:val="single" w:color="000000" w:sz="8" w:space="0"/>
              <w:right w:val="single" w:color="000000" w:sz="8" w:space="0"/>
            </w:tcBorders>
            <w:shd w:val="clear" w:color="auto" w:fill="auto"/>
            <w:vAlign w:val="center"/>
          </w:tcPr>
          <w:p w14:paraId="7EDA8C3C">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原装工作台</w:t>
            </w:r>
          </w:p>
        </w:tc>
        <w:tc>
          <w:tcPr>
            <w:tcW w:w="792" w:type="dxa"/>
            <w:tcBorders>
              <w:top w:val="nil"/>
              <w:left w:val="nil"/>
              <w:bottom w:val="single" w:color="000000" w:sz="8" w:space="0"/>
              <w:right w:val="single" w:color="000000" w:sz="8" w:space="0"/>
            </w:tcBorders>
            <w:shd w:val="clear" w:color="auto" w:fill="auto"/>
            <w:vAlign w:val="center"/>
          </w:tcPr>
          <w:p w14:paraId="75EC94E6">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15000</w:t>
            </w:r>
          </w:p>
        </w:tc>
      </w:tr>
      <w:tr w14:paraId="667075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9" w:hRule="atLeast"/>
        </w:trPr>
        <w:tc>
          <w:tcPr>
            <w:tcW w:w="552" w:type="dxa"/>
            <w:tcBorders>
              <w:top w:val="nil"/>
              <w:left w:val="single" w:color="000000" w:sz="8" w:space="0"/>
              <w:bottom w:val="single" w:color="000000" w:sz="8" w:space="0"/>
              <w:right w:val="single" w:color="000000" w:sz="8" w:space="0"/>
            </w:tcBorders>
            <w:shd w:val="clear" w:color="auto" w:fill="auto"/>
            <w:vAlign w:val="center"/>
          </w:tcPr>
          <w:p w14:paraId="458367B3">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4</w:t>
            </w:r>
          </w:p>
        </w:tc>
        <w:tc>
          <w:tcPr>
            <w:tcW w:w="617" w:type="dxa"/>
            <w:tcBorders>
              <w:top w:val="nil"/>
              <w:left w:val="nil"/>
              <w:bottom w:val="single" w:color="000000" w:sz="8" w:space="0"/>
              <w:right w:val="single" w:color="000000" w:sz="8" w:space="0"/>
            </w:tcBorders>
            <w:shd w:val="clear" w:color="auto" w:fill="auto"/>
            <w:vAlign w:val="center"/>
          </w:tcPr>
          <w:p w14:paraId="50BD64ED">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激光</w:t>
            </w:r>
          </w:p>
        </w:tc>
        <w:tc>
          <w:tcPr>
            <w:tcW w:w="511" w:type="dxa"/>
            <w:tcBorders>
              <w:top w:val="nil"/>
              <w:left w:val="nil"/>
              <w:bottom w:val="single" w:color="000000" w:sz="8" w:space="0"/>
              <w:right w:val="single" w:color="000000" w:sz="8" w:space="0"/>
            </w:tcBorders>
            <w:shd w:val="clear" w:color="auto" w:fill="auto"/>
            <w:vAlign w:val="center"/>
          </w:tcPr>
          <w:p w14:paraId="5B974687">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黑白</w:t>
            </w:r>
          </w:p>
        </w:tc>
        <w:tc>
          <w:tcPr>
            <w:tcW w:w="624" w:type="dxa"/>
            <w:tcBorders>
              <w:top w:val="nil"/>
              <w:left w:val="nil"/>
              <w:bottom w:val="single" w:color="000000" w:sz="8" w:space="0"/>
              <w:right w:val="single" w:color="000000" w:sz="8" w:space="0"/>
            </w:tcBorders>
            <w:shd w:val="clear" w:color="auto" w:fill="auto"/>
            <w:vAlign w:val="center"/>
          </w:tcPr>
          <w:p w14:paraId="184E2439">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A3</w:t>
            </w:r>
          </w:p>
        </w:tc>
        <w:tc>
          <w:tcPr>
            <w:tcW w:w="756" w:type="dxa"/>
            <w:tcBorders>
              <w:top w:val="nil"/>
              <w:left w:val="nil"/>
              <w:bottom w:val="single" w:color="000000" w:sz="8" w:space="0"/>
              <w:right w:val="single" w:color="000000" w:sz="8" w:space="0"/>
            </w:tcBorders>
            <w:shd w:val="clear" w:color="auto" w:fill="auto"/>
            <w:vAlign w:val="center"/>
          </w:tcPr>
          <w:p w14:paraId="44D662C5">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支持</w:t>
            </w:r>
          </w:p>
        </w:tc>
        <w:tc>
          <w:tcPr>
            <w:tcW w:w="792" w:type="dxa"/>
            <w:tcBorders>
              <w:top w:val="nil"/>
              <w:left w:val="nil"/>
              <w:bottom w:val="single" w:color="000000" w:sz="8" w:space="0"/>
              <w:right w:val="single" w:color="000000" w:sz="8" w:space="0"/>
            </w:tcBorders>
            <w:shd w:val="clear" w:color="auto" w:fill="auto"/>
            <w:vAlign w:val="center"/>
          </w:tcPr>
          <w:p w14:paraId="4C217278">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≥30</w:t>
            </w:r>
          </w:p>
        </w:tc>
        <w:tc>
          <w:tcPr>
            <w:tcW w:w="835" w:type="dxa"/>
            <w:tcBorders>
              <w:top w:val="nil"/>
              <w:left w:val="nil"/>
              <w:bottom w:val="single" w:color="000000" w:sz="8" w:space="0"/>
              <w:right w:val="single" w:color="000000" w:sz="8" w:space="0"/>
            </w:tcBorders>
            <w:shd w:val="clear" w:color="auto" w:fill="auto"/>
            <w:vAlign w:val="center"/>
          </w:tcPr>
          <w:p w14:paraId="41C4E896">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≥40</w:t>
            </w:r>
          </w:p>
        </w:tc>
        <w:tc>
          <w:tcPr>
            <w:tcW w:w="974" w:type="dxa"/>
            <w:tcBorders>
              <w:top w:val="nil"/>
              <w:left w:val="nil"/>
              <w:bottom w:val="single" w:color="000000" w:sz="8" w:space="0"/>
              <w:right w:val="single" w:color="000000" w:sz="8" w:space="0"/>
            </w:tcBorders>
            <w:shd w:val="clear" w:color="auto" w:fill="auto"/>
            <w:vAlign w:val="center"/>
          </w:tcPr>
          <w:p w14:paraId="60907997">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≥500</w:t>
            </w:r>
          </w:p>
        </w:tc>
        <w:tc>
          <w:tcPr>
            <w:tcW w:w="721" w:type="dxa"/>
            <w:tcBorders>
              <w:top w:val="nil"/>
              <w:left w:val="nil"/>
              <w:bottom w:val="single" w:color="000000" w:sz="8" w:space="0"/>
              <w:right w:val="single" w:color="000000" w:sz="8" w:space="0"/>
            </w:tcBorders>
            <w:shd w:val="clear" w:color="auto" w:fill="auto"/>
            <w:vAlign w:val="center"/>
          </w:tcPr>
          <w:p w14:paraId="51AEB17E">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703" w:type="dxa"/>
            <w:tcBorders>
              <w:top w:val="nil"/>
              <w:left w:val="nil"/>
              <w:bottom w:val="single" w:color="000000" w:sz="8" w:space="0"/>
              <w:right w:val="single" w:color="000000" w:sz="8" w:space="0"/>
            </w:tcBorders>
            <w:shd w:val="clear" w:color="auto" w:fill="auto"/>
            <w:vAlign w:val="center"/>
          </w:tcPr>
          <w:p w14:paraId="0E6515CE">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液晶触摸屏</w:t>
            </w:r>
          </w:p>
        </w:tc>
        <w:tc>
          <w:tcPr>
            <w:tcW w:w="686" w:type="dxa"/>
            <w:tcBorders>
              <w:top w:val="nil"/>
              <w:left w:val="nil"/>
              <w:bottom w:val="single" w:color="000000" w:sz="8" w:space="0"/>
              <w:right w:val="single" w:color="000000" w:sz="8" w:space="0"/>
            </w:tcBorders>
            <w:shd w:val="clear" w:color="auto" w:fill="auto"/>
            <w:vAlign w:val="center"/>
          </w:tcPr>
          <w:p w14:paraId="07981DC9">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至少含复印/打印/扫描</w:t>
            </w:r>
          </w:p>
        </w:tc>
        <w:tc>
          <w:tcPr>
            <w:tcW w:w="480" w:type="dxa"/>
            <w:tcBorders>
              <w:top w:val="nil"/>
              <w:left w:val="nil"/>
              <w:bottom w:val="single" w:color="000000" w:sz="8" w:space="0"/>
              <w:right w:val="single" w:color="000000" w:sz="8" w:space="0"/>
            </w:tcBorders>
            <w:shd w:val="clear" w:color="auto" w:fill="auto"/>
            <w:vAlign w:val="center"/>
          </w:tcPr>
          <w:p w14:paraId="2678380C">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支持</w:t>
            </w:r>
          </w:p>
        </w:tc>
        <w:tc>
          <w:tcPr>
            <w:tcW w:w="870" w:type="dxa"/>
            <w:tcBorders>
              <w:top w:val="nil"/>
              <w:left w:val="nil"/>
              <w:bottom w:val="single" w:color="000000" w:sz="8" w:space="0"/>
              <w:right w:val="single" w:color="000000" w:sz="8" w:space="0"/>
            </w:tcBorders>
            <w:shd w:val="clear" w:color="auto" w:fill="auto"/>
            <w:vAlign w:val="center"/>
          </w:tcPr>
          <w:p w14:paraId="3D8B0E1C">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w:t>
            </w:r>
          </w:p>
        </w:tc>
        <w:tc>
          <w:tcPr>
            <w:tcW w:w="1079" w:type="dxa"/>
            <w:tcBorders>
              <w:top w:val="nil"/>
              <w:left w:val="nil"/>
              <w:bottom w:val="single" w:color="000000" w:sz="8" w:space="0"/>
              <w:right w:val="single" w:color="000000" w:sz="8" w:space="0"/>
            </w:tcBorders>
            <w:shd w:val="clear" w:color="auto" w:fill="auto"/>
            <w:vAlign w:val="center"/>
          </w:tcPr>
          <w:p w14:paraId="4C00784D">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876" w:type="dxa"/>
            <w:tcBorders>
              <w:top w:val="nil"/>
              <w:left w:val="nil"/>
              <w:bottom w:val="single" w:color="000000" w:sz="8" w:space="0"/>
              <w:right w:val="single" w:color="000000" w:sz="8" w:space="0"/>
            </w:tcBorders>
            <w:shd w:val="clear" w:color="auto" w:fill="auto"/>
            <w:vAlign w:val="center"/>
          </w:tcPr>
          <w:p w14:paraId="3CCEDB54">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由供应商填写产品适配的所有操作系统</w:t>
            </w:r>
          </w:p>
        </w:tc>
        <w:tc>
          <w:tcPr>
            <w:tcW w:w="720" w:type="dxa"/>
            <w:tcBorders>
              <w:top w:val="nil"/>
              <w:left w:val="nil"/>
              <w:bottom w:val="single" w:color="000000" w:sz="8" w:space="0"/>
              <w:right w:val="single" w:color="000000" w:sz="8" w:space="0"/>
            </w:tcBorders>
            <w:shd w:val="clear" w:color="auto" w:fill="auto"/>
            <w:vAlign w:val="center"/>
          </w:tcPr>
          <w:p w14:paraId="6D1E41C9">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756" w:type="dxa"/>
            <w:tcBorders>
              <w:top w:val="nil"/>
              <w:left w:val="nil"/>
              <w:bottom w:val="single" w:color="000000" w:sz="8" w:space="0"/>
              <w:right w:val="single" w:color="000000" w:sz="8" w:space="0"/>
            </w:tcBorders>
            <w:shd w:val="clear" w:color="auto" w:fill="auto"/>
            <w:vAlign w:val="center"/>
          </w:tcPr>
          <w:p w14:paraId="4BD0BD88">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≥1GB</w:t>
            </w:r>
          </w:p>
        </w:tc>
        <w:tc>
          <w:tcPr>
            <w:tcW w:w="756" w:type="dxa"/>
            <w:tcBorders>
              <w:top w:val="nil"/>
              <w:left w:val="nil"/>
              <w:bottom w:val="single" w:color="000000" w:sz="8" w:space="0"/>
              <w:right w:val="single" w:color="000000" w:sz="8" w:space="0"/>
            </w:tcBorders>
            <w:shd w:val="clear" w:color="auto" w:fill="auto"/>
            <w:vAlign w:val="center"/>
          </w:tcPr>
          <w:p w14:paraId="5C6D77EA">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w:t>
            </w:r>
          </w:p>
        </w:tc>
        <w:tc>
          <w:tcPr>
            <w:tcW w:w="564" w:type="dxa"/>
            <w:tcBorders>
              <w:top w:val="nil"/>
              <w:left w:val="nil"/>
              <w:bottom w:val="single" w:color="000000" w:sz="8" w:space="0"/>
              <w:right w:val="single" w:color="000000" w:sz="8" w:space="0"/>
            </w:tcBorders>
            <w:shd w:val="clear" w:color="auto" w:fill="auto"/>
            <w:vAlign w:val="center"/>
          </w:tcPr>
          <w:p w14:paraId="5D0ED7A8">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原装工作台</w:t>
            </w:r>
          </w:p>
        </w:tc>
        <w:tc>
          <w:tcPr>
            <w:tcW w:w="792" w:type="dxa"/>
            <w:tcBorders>
              <w:top w:val="nil"/>
              <w:left w:val="nil"/>
              <w:bottom w:val="single" w:color="000000" w:sz="8" w:space="0"/>
              <w:right w:val="single" w:color="000000" w:sz="8" w:space="0"/>
            </w:tcBorders>
            <w:shd w:val="clear" w:color="auto" w:fill="auto"/>
            <w:vAlign w:val="center"/>
          </w:tcPr>
          <w:p w14:paraId="1C4AAD70">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20000</w:t>
            </w:r>
          </w:p>
        </w:tc>
      </w:tr>
      <w:tr w14:paraId="77A611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9" w:hRule="atLeast"/>
        </w:trPr>
        <w:tc>
          <w:tcPr>
            <w:tcW w:w="552" w:type="dxa"/>
            <w:tcBorders>
              <w:top w:val="nil"/>
              <w:left w:val="single" w:color="000000" w:sz="8" w:space="0"/>
              <w:bottom w:val="single" w:color="000000" w:sz="8" w:space="0"/>
              <w:right w:val="single" w:color="000000" w:sz="8" w:space="0"/>
            </w:tcBorders>
            <w:shd w:val="clear" w:color="auto" w:fill="auto"/>
            <w:vAlign w:val="center"/>
          </w:tcPr>
          <w:p w14:paraId="721D41CF">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5</w:t>
            </w:r>
          </w:p>
        </w:tc>
        <w:tc>
          <w:tcPr>
            <w:tcW w:w="617" w:type="dxa"/>
            <w:tcBorders>
              <w:top w:val="nil"/>
              <w:left w:val="nil"/>
              <w:bottom w:val="single" w:color="000000" w:sz="8" w:space="0"/>
              <w:right w:val="single" w:color="000000" w:sz="8" w:space="0"/>
            </w:tcBorders>
            <w:shd w:val="clear" w:color="auto" w:fill="auto"/>
            <w:vAlign w:val="center"/>
          </w:tcPr>
          <w:p w14:paraId="0D12A9FA">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激光</w:t>
            </w:r>
          </w:p>
        </w:tc>
        <w:tc>
          <w:tcPr>
            <w:tcW w:w="511" w:type="dxa"/>
            <w:tcBorders>
              <w:top w:val="nil"/>
              <w:left w:val="nil"/>
              <w:bottom w:val="single" w:color="000000" w:sz="8" w:space="0"/>
              <w:right w:val="single" w:color="000000" w:sz="8" w:space="0"/>
            </w:tcBorders>
            <w:shd w:val="clear" w:color="auto" w:fill="auto"/>
            <w:vAlign w:val="center"/>
          </w:tcPr>
          <w:p w14:paraId="2B2C4007">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黑白</w:t>
            </w:r>
          </w:p>
        </w:tc>
        <w:tc>
          <w:tcPr>
            <w:tcW w:w="624" w:type="dxa"/>
            <w:tcBorders>
              <w:top w:val="nil"/>
              <w:left w:val="nil"/>
              <w:bottom w:val="single" w:color="000000" w:sz="8" w:space="0"/>
              <w:right w:val="single" w:color="000000" w:sz="8" w:space="0"/>
            </w:tcBorders>
            <w:shd w:val="clear" w:color="auto" w:fill="auto"/>
            <w:vAlign w:val="center"/>
          </w:tcPr>
          <w:p w14:paraId="5E9FA78F">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A3</w:t>
            </w:r>
          </w:p>
        </w:tc>
        <w:tc>
          <w:tcPr>
            <w:tcW w:w="756" w:type="dxa"/>
            <w:tcBorders>
              <w:top w:val="nil"/>
              <w:left w:val="nil"/>
              <w:bottom w:val="single" w:color="000000" w:sz="8" w:space="0"/>
              <w:right w:val="single" w:color="000000" w:sz="8" w:space="0"/>
            </w:tcBorders>
            <w:shd w:val="clear" w:color="auto" w:fill="auto"/>
            <w:vAlign w:val="center"/>
          </w:tcPr>
          <w:p w14:paraId="7326FC77">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支持</w:t>
            </w:r>
          </w:p>
        </w:tc>
        <w:tc>
          <w:tcPr>
            <w:tcW w:w="792" w:type="dxa"/>
            <w:tcBorders>
              <w:top w:val="nil"/>
              <w:left w:val="nil"/>
              <w:bottom w:val="single" w:color="000000" w:sz="8" w:space="0"/>
              <w:right w:val="single" w:color="000000" w:sz="8" w:space="0"/>
            </w:tcBorders>
            <w:shd w:val="clear" w:color="auto" w:fill="auto"/>
            <w:vAlign w:val="center"/>
          </w:tcPr>
          <w:p w14:paraId="37BD25C8">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≥35</w:t>
            </w:r>
          </w:p>
        </w:tc>
        <w:tc>
          <w:tcPr>
            <w:tcW w:w="835" w:type="dxa"/>
            <w:tcBorders>
              <w:top w:val="nil"/>
              <w:left w:val="nil"/>
              <w:bottom w:val="single" w:color="000000" w:sz="8" w:space="0"/>
              <w:right w:val="single" w:color="000000" w:sz="8" w:space="0"/>
            </w:tcBorders>
            <w:shd w:val="clear" w:color="auto" w:fill="auto"/>
            <w:vAlign w:val="center"/>
          </w:tcPr>
          <w:p w14:paraId="213D51DD">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≥40</w:t>
            </w:r>
          </w:p>
        </w:tc>
        <w:tc>
          <w:tcPr>
            <w:tcW w:w="974" w:type="dxa"/>
            <w:tcBorders>
              <w:top w:val="nil"/>
              <w:left w:val="nil"/>
              <w:bottom w:val="single" w:color="000000" w:sz="8" w:space="0"/>
              <w:right w:val="single" w:color="000000" w:sz="8" w:space="0"/>
            </w:tcBorders>
            <w:shd w:val="clear" w:color="auto" w:fill="auto"/>
            <w:vAlign w:val="center"/>
          </w:tcPr>
          <w:p w14:paraId="58E1F196">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≥500</w:t>
            </w:r>
          </w:p>
        </w:tc>
        <w:tc>
          <w:tcPr>
            <w:tcW w:w="721" w:type="dxa"/>
            <w:tcBorders>
              <w:top w:val="nil"/>
              <w:left w:val="nil"/>
              <w:bottom w:val="single" w:color="000000" w:sz="8" w:space="0"/>
              <w:right w:val="single" w:color="000000" w:sz="8" w:space="0"/>
            </w:tcBorders>
            <w:shd w:val="clear" w:color="auto" w:fill="auto"/>
            <w:vAlign w:val="center"/>
          </w:tcPr>
          <w:p w14:paraId="38B2EFBB">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703" w:type="dxa"/>
            <w:tcBorders>
              <w:top w:val="nil"/>
              <w:left w:val="nil"/>
              <w:bottom w:val="single" w:color="000000" w:sz="8" w:space="0"/>
              <w:right w:val="single" w:color="000000" w:sz="8" w:space="0"/>
            </w:tcBorders>
            <w:shd w:val="clear" w:color="auto" w:fill="auto"/>
            <w:vAlign w:val="center"/>
          </w:tcPr>
          <w:p w14:paraId="3D26E7A7">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液晶触摸屏</w:t>
            </w:r>
          </w:p>
        </w:tc>
        <w:tc>
          <w:tcPr>
            <w:tcW w:w="686" w:type="dxa"/>
            <w:tcBorders>
              <w:top w:val="nil"/>
              <w:left w:val="nil"/>
              <w:bottom w:val="single" w:color="000000" w:sz="8" w:space="0"/>
              <w:right w:val="single" w:color="000000" w:sz="8" w:space="0"/>
            </w:tcBorders>
            <w:shd w:val="clear" w:color="auto" w:fill="auto"/>
            <w:vAlign w:val="center"/>
          </w:tcPr>
          <w:p w14:paraId="36D11753">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至少含复印/打印/扫描</w:t>
            </w:r>
          </w:p>
        </w:tc>
        <w:tc>
          <w:tcPr>
            <w:tcW w:w="480" w:type="dxa"/>
            <w:tcBorders>
              <w:top w:val="nil"/>
              <w:left w:val="nil"/>
              <w:bottom w:val="single" w:color="000000" w:sz="8" w:space="0"/>
              <w:right w:val="single" w:color="000000" w:sz="8" w:space="0"/>
            </w:tcBorders>
            <w:shd w:val="clear" w:color="auto" w:fill="auto"/>
            <w:vAlign w:val="center"/>
          </w:tcPr>
          <w:p w14:paraId="4B9964FB">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支持</w:t>
            </w:r>
          </w:p>
        </w:tc>
        <w:tc>
          <w:tcPr>
            <w:tcW w:w="870" w:type="dxa"/>
            <w:tcBorders>
              <w:top w:val="nil"/>
              <w:left w:val="nil"/>
              <w:bottom w:val="single" w:color="000000" w:sz="8" w:space="0"/>
              <w:right w:val="single" w:color="000000" w:sz="8" w:space="0"/>
            </w:tcBorders>
            <w:shd w:val="clear" w:color="auto" w:fill="auto"/>
            <w:vAlign w:val="center"/>
          </w:tcPr>
          <w:p w14:paraId="0248A8D4">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w:t>
            </w:r>
          </w:p>
        </w:tc>
        <w:tc>
          <w:tcPr>
            <w:tcW w:w="1079" w:type="dxa"/>
            <w:tcBorders>
              <w:top w:val="nil"/>
              <w:left w:val="nil"/>
              <w:bottom w:val="single" w:color="000000" w:sz="8" w:space="0"/>
              <w:right w:val="single" w:color="000000" w:sz="8" w:space="0"/>
            </w:tcBorders>
            <w:shd w:val="clear" w:color="auto" w:fill="auto"/>
            <w:vAlign w:val="center"/>
          </w:tcPr>
          <w:p w14:paraId="6D4E7C01">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876" w:type="dxa"/>
            <w:tcBorders>
              <w:top w:val="nil"/>
              <w:left w:val="nil"/>
              <w:bottom w:val="single" w:color="000000" w:sz="8" w:space="0"/>
              <w:right w:val="single" w:color="000000" w:sz="8" w:space="0"/>
            </w:tcBorders>
            <w:shd w:val="clear" w:color="auto" w:fill="auto"/>
            <w:vAlign w:val="center"/>
          </w:tcPr>
          <w:p w14:paraId="4F143466">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由供应商填写产品适配的所有操作系统</w:t>
            </w:r>
          </w:p>
        </w:tc>
        <w:tc>
          <w:tcPr>
            <w:tcW w:w="720" w:type="dxa"/>
            <w:tcBorders>
              <w:top w:val="nil"/>
              <w:left w:val="nil"/>
              <w:bottom w:val="single" w:color="000000" w:sz="8" w:space="0"/>
              <w:right w:val="single" w:color="000000" w:sz="8" w:space="0"/>
            </w:tcBorders>
            <w:shd w:val="clear" w:color="auto" w:fill="auto"/>
            <w:vAlign w:val="center"/>
          </w:tcPr>
          <w:p w14:paraId="38B8ACE8">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756" w:type="dxa"/>
            <w:tcBorders>
              <w:top w:val="nil"/>
              <w:left w:val="nil"/>
              <w:bottom w:val="single" w:color="000000" w:sz="8" w:space="0"/>
              <w:right w:val="single" w:color="000000" w:sz="8" w:space="0"/>
            </w:tcBorders>
            <w:shd w:val="clear" w:color="auto" w:fill="auto"/>
            <w:vAlign w:val="center"/>
          </w:tcPr>
          <w:p w14:paraId="2BE4EC54">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≥1GB</w:t>
            </w:r>
          </w:p>
        </w:tc>
        <w:tc>
          <w:tcPr>
            <w:tcW w:w="756" w:type="dxa"/>
            <w:tcBorders>
              <w:top w:val="nil"/>
              <w:left w:val="nil"/>
              <w:bottom w:val="single" w:color="000000" w:sz="8" w:space="0"/>
              <w:right w:val="single" w:color="000000" w:sz="8" w:space="0"/>
            </w:tcBorders>
            <w:shd w:val="clear" w:color="auto" w:fill="auto"/>
            <w:vAlign w:val="center"/>
          </w:tcPr>
          <w:p w14:paraId="45109F2E">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w:t>
            </w:r>
          </w:p>
        </w:tc>
        <w:tc>
          <w:tcPr>
            <w:tcW w:w="564" w:type="dxa"/>
            <w:tcBorders>
              <w:top w:val="nil"/>
              <w:left w:val="nil"/>
              <w:bottom w:val="single" w:color="000000" w:sz="8" w:space="0"/>
              <w:right w:val="single" w:color="000000" w:sz="8" w:space="0"/>
            </w:tcBorders>
            <w:shd w:val="clear" w:color="auto" w:fill="auto"/>
            <w:vAlign w:val="center"/>
          </w:tcPr>
          <w:p w14:paraId="61BF5C9D">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原装工作台</w:t>
            </w:r>
          </w:p>
        </w:tc>
        <w:tc>
          <w:tcPr>
            <w:tcW w:w="792" w:type="dxa"/>
            <w:tcBorders>
              <w:top w:val="nil"/>
              <w:left w:val="nil"/>
              <w:bottom w:val="single" w:color="000000" w:sz="8" w:space="0"/>
              <w:right w:val="single" w:color="000000" w:sz="8" w:space="0"/>
            </w:tcBorders>
            <w:shd w:val="clear" w:color="auto" w:fill="auto"/>
            <w:vAlign w:val="center"/>
          </w:tcPr>
          <w:p w14:paraId="305487FB">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30000</w:t>
            </w:r>
          </w:p>
        </w:tc>
      </w:tr>
      <w:tr w14:paraId="3C28B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9" w:hRule="atLeast"/>
        </w:trPr>
        <w:tc>
          <w:tcPr>
            <w:tcW w:w="552" w:type="dxa"/>
            <w:tcBorders>
              <w:top w:val="nil"/>
              <w:left w:val="single" w:color="000000" w:sz="8" w:space="0"/>
              <w:bottom w:val="single" w:color="000000" w:sz="8" w:space="0"/>
              <w:right w:val="single" w:color="000000" w:sz="8" w:space="0"/>
            </w:tcBorders>
            <w:shd w:val="clear" w:color="auto" w:fill="auto"/>
            <w:vAlign w:val="center"/>
          </w:tcPr>
          <w:p w14:paraId="4593027E">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6</w:t>
            </w:r>
          </w:p>
        </w:tc>
        <w:tc>
          <w:tcPr>
            <w:tcW w:w="617" w:type="dxa"/>
            <w:tcBorders>
              <w:top w:val="nil"/>
              <w:left w:val="nil"/>
              <w:bottom w:val="single" w:color="000000" w:sz="8" w:space="0"/>
              <w:right w:val="single" w:color="000000" w:sz="8" w:space="0"/>
            </w:tcBorders>
            <w:shd w:val="clear" w:color="auto" w:fill="auto"/>
            <w:vAlign w:val="center"/>
          </w:tcPr>
          <w:p w14:paraId="3B2A1A8D">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激光</w:t>
            </w:r>
          </w:p>
        </w:tc>
        <w:tc>
          <w:tcPr>
            <w:tcW w:w="511" w:type="dxa"/>
            <w:tcBorders>
              <w:top w:val="nil"/>
              <w:left w:val="nil"/>
              <w:bottom w:val="single" w:color="000000" w:sz="8" w:space="0"/>
              <w:right w:val="single" w:color="000000" w:sz="8" w:space="0"/>
            </w:tcBorders>
            <w:shd w:val="clear" w:color="auto" w:fill="auto"/>
            <w:vAlign w:val="center"/>
          </w:tcPr>
          <w:p w14:paraId="19737BAF">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黑白</w:t>
            </w:r>
          </w:p>
        </w:tc>
        <w:tc>
          <w:tcPr>
            <w:tcW w:w="624" w:type="dxa"/>
            <w:tcBorders>
              <w:top w:val="nil"/>
              <w:left w:val="nil"/>
              <w:bottom w:val="single" w:color="000000" w:sz="8" w:space="0"/>
              <w:right w:val="single" w:color="000000" w:sz="8" w:space="0"/>
            </w:tcBorders>
            <w:shd w:val="clear" w:color="auto" w:fill="auto"/>
            <w:vAlign w:val="center"/>
          </w:tcPr>
          <w:p w14:paraId="74C158A6">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A3</w:t>
            </w:r>
          </w:p>
        </w:tc>
        <w:tc>
          <w:tcPr>
            <w:tcW w:w="756" w:type="dxa"/>
            <w:tcBorders>
              <w:top w:val="nil"/>
              <w:left w:val="nil"/>
              <w:bottom w:val="single" w:color="000000" w:sz="8" w:space="0"/>
              <w:right w:val="single" w:color="000000" w:sz="8" w:space="0"/>
            </w:tcBorders>
            <w:shd w:val="clear" w:color="auto" w:fill="auto"/>
            <w:vAlign w:val="center"/>
          </w:tcPr>
          <w:p w14:paraId="6D1E0270">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支持</w:t>
            </w:r>
          </w:p>
        </w:tc>
        <w:tc>
          <w:tcPr>
            <w:tcW w:w="792" w:type="dxa"/>
            <w:tcBorders>
              <w:top w:val="nil"/>
              <w:left w:val="nil"/>
              <w:bottom w:val="single" w:color="000000" w:sz="8" w:space="0"/>
              <w:right w:val="single" w:color="000000" w:sz="8" w:space="0"/>
            </w:tcBorders>
            <w:shd w:val="clear" w:color="auto" w:fill="auto"/>
            <w:vAlign w:val="center"/>
          </w:tcPr>
          <w:p w14:paraId="52085707">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≥40</w:t>
            </w:r>
          </w:p>
        </w:tc>
        <w:tc>
          <w:tcPr>
            <w:tcW w:w="835" w:type="dxa"/>
            <w:tcBorders>
              <w:top w:val="nil"/>
              <w:left w:val="nil"/>
              <w:bottom w:val="single" w:color="000000" w:sz="8" w:space="0"/>
              <w:right w:val="single" w:color="000000" w:sz="8" w:space="0"/>
            </w:tcBorders>
            <w:shd w:val="clear" w:color="auto" w:fill="auto"/>
            <w:vAlign w:val="center"/>
          </w:tcPr>
          <w:p w14:paraId="3578B137">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≥50</w:t>
            </w:r>
          </w:p>
        </w:tc>
        <w:tc>
          <w:tcPr>
            <w:tcW w:w="974" w:type="dxa"/>
            <w:tcBorders>
              <w:top w:val="nil"/>
              <w:left w:val="nil"/>
              <w:bottom w:val="single" w:color="000000" w:sz="8" w:space="0"/>
              <w:right w:val="single" w:color="000000" w:sz="8" w:space="0"/>
            </w:tcBorders>
            <w:shd w:val="clear" w:color="auto" w:fill="auto"/>
            <w:vAlign w:val="center"/>
          </w:tcPr>
          <w:p w14:paraId="4F1CD91C">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≥500</w:t>
            </w:r>
          </w:p>
        </w:tc>
        <w:tc>
          <w:tcPr>
            <w:tcW w:w="721" w:type="dxa"/>
            <w:tcBorders>
              <w:top w:val="nil"/>
              <w:left w:val="nil"/>
              <w:bottom w:val="single" w:color="000000" w:sz="8" w:space="0"/>
              <w:right w:val="single" w:color="000000" w:sz="8" w:space="0"/>
            </w:tcBorders>
            <w:shd w:val="clear" w:color="auto" w:fill="auto"/>
            <w:vAlign w:val="center"/>
          </w:tcPr>
          <w:p w14:paraId="25804C61">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703" w:type="dxa"/>
            <w:tcBorders>
              <w:top w:val="nil"/>
              <w:left w:val="nil"/>
              <w:bottom w:val="single" w:color="000000" w:sz="8" w:space="0"/>
              <w:right w:val="single" w:color="000000" w:sz="8" w:space="0"/>
            </w:tcBorders>
            <w:shd w:val="clear" w:color="auto" w:fill="auto"/>
            <w:vAlign w:val="center"/>
          </w:tcPr>
          <w:p w14:paraId="6A41AC57">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液晶触摸屏</w:t>
            </w:r>
          </w:p>
        </w:tc>
        <w:tc>
          <w:tcPr>
            <w:tcW w:w="686" w:type="dxa"/>
            <w:tcBorders>
              <w:top w:val="nil"/>
              <w:left w:val="nil"/>
              <w:bottom w:val="single" w:color="000000" w:sz="8" w:space="0"/>
              <w:right w:val="single" w:color="000000" w:sz="8" w:space="0"/>
            </w:tcBorders>
            <w:shd w:val="clear" w:color="auto" w:fill="auto"/>
            <w:vAlign w:val="center"/>
          </w:tcPr>
          <w:p w14:paraId="4FDBE533">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至少含复印/打印/扫描</w:t>
            </w:r>
          </w:p>
        </w:tc>
        <w:tc>
          <w:tcPr>
            <w:tcW w:w="480" w:type="dxa"/>
            <w:tcBorders>
              <w:top w:val="nil"/>
              <w:left w:val="nil"/>
              <w:bottom w:val="single" w:color="000000" w:sz="8" w:space="0"/>
              <w:right w:val="single" w:color="000000" w:sz="8" w:space="0"/>
            </w:tcBorders>
            <w:shd w:val="clear" w:color="auto" w:fill="auto"/>
            <w:vAlign w:val="center"/>
          </w:tcPr>
          <w:p w14:paraId="4F1F0091">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支持</w:t>
            </w:r>
          </w:p>
        </w:tc>
        <w:tc>
          <w:tcPr>
            <w:tcW w:w="870" w:type="dxa"/>
            <w:tcBorders>
              <w:top w:val="nil"/>
              <w:left w:val="nil"/>
              <w:bottom w:val="single" w:color="000000" w:sz="8" w:space="0"/>
              <w:right w:val="single" w:color="000000" w:sz="8" w:space="0"/>
            </w:tcBorders>
            <w:shd w:val="clear" w:color="auto" w:fill="auto"/>
            <w:vAlign w:val="center"/>
          </w:tcPr>
          <w:p w14:paraId="42F8984A">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w:t>
            </w:r>
          </w:p>
        </w:tc>
        <w:tc>
          <w:tcPr>
            <w:tcW w:w="1079" w:type="dxa"/>
            <w:tcBorders>
              <w:top w:val="nil"/>
              <w:left w:val="nil"/>
              <w:bottom w:val="single" w:color="000000" w:sz="8" w:space="0"/>
              <w:right w:val="single" w:color="000000" w:sz="8" w:space="0"/>
            </w:tcBorders>
            <w:shd w:val="clear" w:color="auto" w:fill="auto"/>
            <w:vAlign w:val="center"/>
          </w:tcPr>
          <w:p w14:paraId="442DFCFA">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876" w:type="dxa"/>
            <w:tcBorders>
              <w:top w:val="nil"/>
              <w:left w:val="nil"/>
              <w:bottom w:val="single" w:color="000000" w:sz="8" w:space="0"/>
              <w:right w:val="single" w:color="000000" w:sz="8" w:space="0"/>
            </w:tcBorders>
            <w:shd w:val="clear" w:color="auto" w:fill="auto"/>
            <w:vAlign w:val="center"/>
          </w:tcPr>
          <w:p w14:paraId="4E79A389">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由供应商填写产品适配的所有操作系统</w:t>
            </w:r>
          </w:p>
        </w:tc>
        <w:tc>
          <w:tcPr>
            <w:tcW w:w="720" w:type="dxa"/>
            <w:tcBorders>
              <w:top w:val="nil"/>
              <w:left w:val="nil"/>
              <w:bottom w:val="single" w:color="000000" w:sz="8" w:space="0"/>
              <w:right w:val="single" w:color="000000" w:sz="8" w:space="0"/>
            </w:tcBorders>
            <w:shd w:val="clear" w:color="auto" w:fill="auto"/>
            <w:vAlign w:val="center"/>
          </w:tcPr>
          <w:p w14:paraId="217F90E5">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756" w:type="dxa"/>
            <w:tcBorders>
              <w:top w:val="nil"/>
              <w:left w:val="nil"/>
              <w:bottom w:val="single" w:color="000000" w:sz="8" w:space="0"/>
              <w:right w:val="single" w:color="000000" w:sz="8" w:space="0"/>
            </w:tcBorders>
            <w:shd w:val="clear" w:color="auto" w:fill="auto"/>
            <w:vAlign w:val="center"/>
          </w:tcPr>
          <w:p w14:paraId="392844F3">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≥2GB</w:t>
            </w:r>
          </w:p>
        </w:tc>
        <w:tc>
          <w:tcPr>
            <w:tcW w:w="756" w:type="dxa"/>
            <w:tcBorders>
              <w:top w:val="nil"/>
              <w:left w:val="nil"/>
              <w:bottom w:val="single" w:color="000000" w:sz="8" w:space="0"/>
              <w:right w:val="single" w:color="000000" w:sz="8" w:space="0"/>
            </w:tcBorders>
            <w:shd w:val="clear" w:color="auto" w:fill="auto"/>
            <w:vAlign w:val="center"/>
          </w:tcPr>
          <w:p w14:paraId="0B1D4F69">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w:t>
            </w:r>
          </w:p>
        </w:tc>
        <w:tc>
          <w:tcPr>
            <w:tcW w:w="564" w:type="dxa"/>
            <w:tcBorders>
              <w:top w:val="nil"/>
              <w:left w:val="nil"/>
              <w:bottom w:val="single" w:color="000000" w:sz="8" w:space="0"/>
              <w:right w:val="single" w:color="000000" w:sz="8" w:space="0"/>
            </w:tcBorders>
            <w:shd w:val="clear" w:color="auto" w:fill="auto"/>
            <w:vAlign w:val="center"/>
          </w:tcPr>
          <w:p w14:paraId="46717698">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原装工作台</w:t>
            </w:r>
          </w:p>
        </w:tc>
        <w:tc>
          <w:tcPr>
            <w:tcW w:w="792" w:type="dxa"/>
            <w:tcBorders>
              <w:top w:val="nil"/>
              <w:left w:val="nil"/>
              <w:bottom w:val="single" w:color="000000" w:sz="8" w:space="0"/>
              <w:right w:val="single" w:color="000000" w:sz="8" w:space="0"/>
            </w:tcBorders>
            <w:shd w:val="clear" w:color="auto" w:fill="auto"/>
            <w:vAlign w:val="center"/>
          </w:tcPr>
          <w:p w14:paraId="1FE88095">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35000</w:t>
            </w:r>
          </w:p>
        </w:tc>
      </w:tr>
      <w:tr w14:paraId="3517F0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9" w:hRule="atLeast"/>
        </w:trPr>
        <w:tc>
          <w:tcPr>
            <w:tcW w:w="552" w:type="dxa"/>
            <w:tcBorders>
              <w:top w:val="nil"/>
              <w:left w:val="single" w:color="000000" w:sz="8" w:space="0"/>
              <w:bottom w:val="single" w:color="000000" w:sz="8" w:space="0"/>
              <w:right w:val="single" w:color="000000" w:sz="8" w:space="0"/>
            </w:tcBorders>
            <w:shd w:val="clear" w:color="auto" w:fill="auto"/>
            <w:vAlign w:val="center"/>
          </w:tcPr>
          <w:p w14:paraId="34D2A375">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7</w:t>
            </w:r>
          </w:p>
        </w:tc>
        <w:tc>
          <w:tcPr>
            <w:tcW w:w="617" w:type="dxa"/>
            <w:tcBorders>
              <w:top w:val="nil"/>
              <w:left w:val="nil"/>
              <w:bottom w:val="single" w:color="000000" w:sz="8" w:space="0"/>
              <w:right w:val="single" w:color="000000" w:sz="8" w:space="0"/>
            </w:tcBorders>
            <w:shd w:val="clear" w:color="auto" w:fill="auto"/>
            <w:vAlign w:val="center"/>
          </w:tcPr>
          <w:p w14:paraId="5066955B">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激光</w:t>
            </w:r>
          </w:p>
        </w:tc>
        <w:tc>
          <w:tcPr>
            <w:tcW w:w="511" w:type="dxa"/>
            <w:tcBorders>
              <w:top w:val="nil"/>
              <w:left w:val="nil"/>
              <w:bottom w:val="single" w:color="000000" w:sz="8" w:space="0"/>
              <w:right w:val="single" w:color="000000" w:sz="8" w:space="0"/>
            </w:tcBorders>
            <w:shd w:val="clear" w:color="auto" w:fill="auto"/>
            <w:vAlign w:val="center"/>
          </w:tcPr>
          <w:p w14:paraId="38A3D4AB">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黑白</w:t>
            </w:r>
          </w:p>
        </w:tc>
        <w:tc>
          <w:tcPr>
            <w:tcW w:w="624" w:type="dxa"/>
            <w:tcBorders>
              <w:top w:val="nil"/>
              <w:left w:val="nil"/>
              <w:bottom w:val="single" w:color="000000" w:sz="8" w:space="0"/>
              <w:right w:val="single" w:color="000000" w:sz="8" w:space="0"/>
            </w:tcBorders>
            <w:shd w:val="clear" w:color="auto" w:fill="auto"/>
            <w:vAlign w:val="center"/>
          </w:tcPr>
          <w:p w14:paraId="53EF5E92">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A3</w:t>
            </w:r>
          </w:p>
        </w:tc>
        <w:tc>
          <w:tcPr>
            <w:tcW w:w="756" w:type="dxa"/>
            <w:tcBorders>
              <w:top w:val="nil"/>
              <w:left w:val="nil"/>
              <w:bottom w:val="single" w:color="000000" w:sz="8" w:space="0"/>
              <w:right w:val="single" w:color="000000" w:sz="8" w:space="0"/>
            </w:tcBorders>
            <w:shd w:val="clear" w:color="auto" w:fill="auto"/>
            <w:vAlign w:val="center"/>
          </w:tcPr>
          <w:p w14:paraId="5E4C0E8C">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支持</w:t>
            </w:r>
          </w:p>
        </w:tc>
        <w:tc>
          <w:tcPr>
            <w:tcW w:w="792" w:type="dxa"/>
            <w:tcBorders>
              <w:top w:val="nil"/>
              <w:left w:val="nil"/>
              <w:bottom w:val="single" w:color="000000" w:sz="8" w:space="0"/>
              <w:right w:val="single" w:color="000000" w:sz="8" w:space="0"/>
            </w:tcBorders>
            <w:shd w:val="clear" w:color="auto" w:fill="auto"/>
            <w:vAlign w:val="center"/>
          </w:tcPr>
          <w:p w14:paraId="5840D6C5">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≥50</w:t>
            </w:r>
          </w:p>
        </w:tc>
        <w:tc>
          <w:tcPr>
            <w:tcW w:w="835" w:type="dxa"/>
            <w:tcBorders>
              <w:top w:val="nil"/>
              <w:left w:val="nil"/>
              <w:bottom w:val="single" w:color="000000" w:sz="8" w:space="0"/>
              <w:right w:val="single" w:color="000000" w:sz="8" w:space="0"/>
            </w:tcBorders>
            <w:shd w:val="clear" w:color="auto" w:fill="auto"/>
            <w:vAlign w:val="center"/>
          </w:tcPr>
          <w:p w14:paraId="03DD121F">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≥50</w:t>
            </w:r>
          </w:p>
        </w:tc>
        <w:tc>
          <w:tcPr>
            <w:tcW w:w="974" w:type="dxa"/>
            <w:tcBorders>
              <w:top w:val="nil"/>
              <w:left w:val="nil"/>
              <w:bottom w:val="single" w:color="000000" w:sz="8" w:space="0"/>
              <w:right w:val="single" w:color="000000" w:sz="8" w:space="0"/>
            </w:tcBorders>
            <w:shd w:val="clear" w:color="auto" w:fill="auto"/>
            <w:vAlign w:val="center"/>
          </w:tcPr>
          <w:p w14:paraId="6A1E7D3B">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≥500</w:t>
            </w:r>
          </w:p>
        </w:tc>
        <w:tc>
          <w:tcPr>
            <w:tcW w:w="721" w:type="dxa"/>
            <w:tcBorders>
              <w:top w:val="nil"/>
              <w:left w:val="nil"/>
              <w:bottom w:val="single" w:color="000000" w:sz="8" w:space="0"/>
              <w:right w:val="single" w:color="000000" w:sz="8" w:space="0"/>
            </w:tcBorders>
            <w:shd w:val="clear" w:color="auto" w:fill="auto"/>
            <w:vAlign w:val="center"/>
          </w:tcPr>
          <w:p w14:paraId="37910559">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703" w:type="dxa"/>
            <w:tcBorders>
              <w:top w:val="nil"/>
              <w:left w:val="nil"/>
              <w:bottom w:val="single" w:color="000000" w:sz="8" w:space="0"/>
              <w:right w:val="single" w:color="000000" w:sz="8" w:space="0"/>
            </w:tcBorders>
            <w:shd w:val="clear" w:color="auto" w:fill="auto"/>
            <w:vAlign w:val="center"/>
          </w:tcPr>
          <w:p w14:paraId="03413650">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液晶触摸屏</w:t>
            </w:r>
          </w:p>
        </w:tc>
        <w:tc>
          <w:tcPr>
            <w:tcW w:w="686" w:type="dxa"/>
            <w:tcBorders>
              <w:top w:val="nil"/>
              <w:left w:val="nil"/>
              <w:bottom w:val="single" w:color="000000" w:sz="8" w:space="0"/>
              <w:right w:val="single" w:color="000000" w:sz="8" w:space="0"/>
            </w:tcBorders>
            <w:shd w:val="clear" w:color="auto" w:fill="auto"/>
            <w:vAlign w:val="center"/>
          </w:tcPr>
          <w:p w14:paraId="510BA45D">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至少含复印/打印/扫描</w:t>
            </w:r>
          </w:p>
        </w:tc>
        <w:tc>
          <w:tcPr>
            <w:tcW w:w="480" w:type="dxa"/>
            <w:tcBorders>
              <w:top w:val="nil"/>
              <w:left w:val="nil"/>
              <w:bottom w:val="single" w:color="000000" w:sz="8" w:space="0"/>
              <w:right w:val="single" w:color="000000" w:sz="8" w:space="0"/>
            </w:tcBorders>
            <w:shd w:val="clear" w:color="auto" w:fill="auto"/>
            <w:vAlign w:val="center"/>
          </w:tcPr>
          <w:p w14:paraId="73CD6A52">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支持</w:t>
            </w:r>
          </w:p>
        </w:tc>
        <w:tc>
          <w:tcPr>
            <w:tcW w:w="870" w:type="dxa"/>
            <w:tcBorders>
              <w:top w:val="nil"/>
              <w:left w:val="nil"/>
              <w:bottom w:val="single" w:color="000000" w:sz="8" w:space="0"/>
              <w:right w:val="single" w:color="000000" w:sz="8" w:space="0"/>
            </w:tcBorders>
            <w:shd w:val="clear" w:color="auto" w:fill="auto"/>
            <w:vAlign w:val="center"/>
          </w:tcPr>
          <w:p w14:paraId="1DFAAA87">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w:t>
            </w:r>
          </w:p>
        </w:tc>
        <w:tc>
          <w:tcPr>
            <w:tcW w:w="1079" w:type="dxa"/>
            <w:tcBorders>
              <w:top w:val="nil"/>
              <w:left w:val="nil"/>
              <w:bottom w:val="single" w:color="000000" w:sz="8" w:space="0"/>
              <w:right w:val="single" w:color="000000" w:sz="8" w:space="0"/>
            </w:tcBorders>
            <w:shd w:val="clear" w:color="auto" w:fill="auto"/>
            <w:vAlign w:val="center"/>
          </w:tcPr>
          <w:p w14:paraId="12F50DB8">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876" w:type="dxa"/>
            <w:tcBorders>
              <w:top w:val="nil"/>
              <w:left w:val="nil"/>
              <w:bottom w:val="single" w:color="000000" w:sz="8" w:space="0"/>
              <w:right w:val="single" w:color="000000" w:sz="8" w:space="0"/>
            </w:tcBorders>
            <w:shd w:val="clear" w:color="auto" w:fill="auto"/>
            <w:vAlign w:val="center"/>
          </w:tcPr>
          <w:p w14:paraId="02E5F465">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由供应商填写产品适配的所有操作系统</w:t>
            </w:r>
          </w:p>
        </w:tc>
        <w:tc>
          <w:tcPr>
            <w:tcW w:w="720" w:type="dxa"/>
            <w:tcBorders>
              <w:top w:val="nil"/>
              <w:left w:val="nil"/>
              <w:bottom w:val="single" w:color="000000" w:sz="8" w:space="0"/>
              <w:right w:val="single" w:color="000000" w:sz="8" w:space="0"/>
            </w:tcBorders>
            <w:shd w:val="clear" w:color="auto" w:fill="auto"/>
            <w:vAlign w:val="center"/>
          </w:tcPr>
          <w:p w14:paraId="676418F9">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756" w:type="dxa"/>
            <w:tcBorders>
              <w:top w:val="nil"/>
              <w:left w:val="nil"/>
              <w:bottom w:val="single" w:color="000000" w:sz="8" w:space="0"/>
              <w:right w:val="single" w:color="000000" w:sz="8" w:space="0"/>
            </w:tcBorders>
            <w:shd w:val="clear" w:color="auto" w:fill="auto"/>
            <w:vAlign w:val="center"/>
          </w:tcPr>
          <w:p w14:paraId="0923CCAC">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≥2GB</w:t>
            </w:r>
          </w:p>
        </w:tc>
        <w:tc>
          <w:tcPr>
            <w:tcW w:w="756" w:type="dxa"/>
            <w:tcBorders>
              <w:top w:val="nil"/>
              <w:left w:val="nil"/>
              <w:bottom w:val="single" w:color="000000" w:sz="8" w:space="0"/>
              <w:right w:val="single" w:color="000000" w:sz="8" w:space="0"/>
            </w:tcBorders>
            <w:shd w:val="clear" w:color="auto" w:fill="auto"/>
            <w:vAlign w:val="center"/>
          </w:tcPr>
          <w:p w14:paraId="3164B728">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w:t>
            </w:r>
          </w:p>
        </w:tc>
        <w:tc>
          <w:tcPr>
            <w:tcW w:w="564" w:type="dxa"/>
            <w:tcBorders>
              <w:top w:val="nil"/>
              <w:left w:val="nil"/>
              <w:bottom w:val="single" w:color="000000" w:sz="8" w:space="0"/>
              <w:right w:val="single" w:color="000000" w:sz="8" w:space="0"/>
            </w:tcBorders>
            <w:shd w:val="clear" w:color="auto" w:fill="auto"/>
            <w:vAlign w:val="center"/>
          </w:tcPr>
          <w:p w14:paraId="4FC9277B">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原装工作台</w:t>
            </w:r>
          </w:p>
        </w:tc>
        <w:tc>
          <w:tcPr>
            <w:tcW w:w="792" w:type="dxa"/>
            <w:tcBorders>
              <w:top w:val="nil"/>
              <w:left w:val="nil"/>
              <w:bottom w:val="single" w:color="000000" w:sz="8" w:space="0"/>
              <w:right w:val="single" w:color="000000" w:sz="8" w:space="0"/>
            </w:tcBorders>
            <w:shd w:val="clear" w:color="auto" w:fill="auto"/>
            <w:vAlign w:val="center"/>
          </w:tcPr>
          <w:p w14:paraId="2C090412">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45000</w:t>
            </w:r>
          </w:p>
        </w:tc>
      </w:tr>
      <w:tr w14:paraId="1E1E5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9" w:hRule="atLeast"/>
        </w:trPr>
        <w:tc>
          <w:tcPr>
            <w:tcW w:w="552" w:type="dxa"/>
            <w:tcBorders>
              <w:top w:val="nil"/>
              <w:left w:val="single" w:color="000000" w:sz="8" w:space="0"/>
              <w:bottom w:val="single" w:color="000000" w:sz="8" w:space="0"/>
              <w:right w:val="single" w:color="000000" w:sz="8" w:space="0"/>
            </w:tcBorders>
            <w:shd w:val="clear" w:color="auto" w:fill="auto"/>
            <w:vAlign w:val="center"/>
          </w:tcPr>
          <w:p w14:paraId="56138337">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8</w:t>
            </w:r>
          </w:p>
        </w:tc>
        <w:tc>
          <w:tcPr>
            <w:tcW w:w="617" w:type="dxa"/>
            <w:tcBorders>
              <w:top w:val="nil"/>
              <w:left w:val="nil"/>
              <w:bottom w:val="single" w:color="000000" w:sz="8" w:space="0"/>
              <w:right w:val="single" w:color="000000" w:sz="8" w:space="0"/>
            </w:tcBorders>
            <w:shd w:val="clear" w:color="auto" w:fill="auto"/>
            <w:vAlign w:val="center"/>
          </w:tcPr>
          <w:p w14:paraId="125DBF89">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激光</w:t>
            </w:r>
          </w:p>
        </w:tc>
        <w:tc>
          <w:tcPr>
            <w:tcW w:w="511" w:type="dxa"/>
            <w:tcBorders>
              <w:top w:val="nil"/>
              <w:left w:val="nil"/>
              <w:bottom w:val="single" w:color="000000" w:sz="8" w:space="0"/>
              <w:right w:val="single" w:color="000000" w:sz="8" w:space="0"/>
            </w:tcBorders>
            <w:shd w:val="clear" w:color="auto" w:fill="auto"/>
            <w:vAlign w:val="center"/>
          </w:tcPr>
          <w:p w14:paraId="56273FC4">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彩色</w:t>
            </w:r>
          </w:p>
        </w:tc>
        <w:tc>
          <w:tcPr>
            <w:tcW w:w="624" w:type="dxa"/>
            <w:tcBorders>
              <w:top w:val="nil"/>
              <w:left w:val="nil"/>
              <w:bottom w:val="single" w:color="000000" w:sz="8" w:space="0"/>
              <w:right w:val="single" w:color="000000" w:sz="8" w:space="0"/>
            </w:tcBorders>
            <w:shd w:val="clear" w:color="auto" w:fill="auto"/>
            <w:vAlign w:val="center"/>
          </w:tcPr>
          <w:p w14:paraId="526A9738">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A3</w:t>
            </w:r>
          </w:p>
        </w:tc>
        <w:tc>
          <w:tcPr>
            <w:tcW w:w="756" w:type="dxa"/>
            <w:tcBorders>
              <w:top w:val="nil"/>
              <w:left w:val="nil"/>
              <w:bottom w:val="single" w:color="000000" w:sz="8" w:space="0"/>
              <w:right w:val="single" w:color="000000" w:sz="8" w:space="0"/>
            </w:tcBorders>
            <w:shd w:val="clear" w:color="auto" w:fill="auto"/>
            <w:vAlign w:val="center"/>
          </w:tcPr>
          <w:p w14:paraId="2C7E6C18">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不支持/支持</w:t>
            </w:r>
          </w:p>
        </w:tc>
        <w:tc>
          <w:tcPr>
            <w:tcW w:w="792" w:type="dxa"/>
            <w:tcBorders>
              <w:top w:val="nil"/>
              <w:left w:val="nil"/>
              <w:bottom w:val="single" w:color="000000" w:sz="8" w:space="0"/>
              <w:right w:val="single" w:color="000000" w:sz="8" w:space="0"/>
            </w:tcBorders>
            <w:shd w:val="clear" w:color="auto" w:fill="auto"/>
            <w:vAlign w:val="center"/>
          </w:tcPr>
          <w:p w14:paraId="1F502366">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≥20</w:t>
            </w:r>
          </w:p>
        </w:tc>
        <w:tc>
          <w:tcPr>
            <w:tcW w:w="835" w:type="dxa"/>
            <w:tcBorders>
              <w:top w:val="nil"/>
              <w:left w:val="nil"/>
              <w:bottom w:val="single" w:color="000000" w:sz="8" w:space="0"/>
              <w:right w:val="single" w:color="000000" w:sz="8" w:space="0"/>
            </w:tcBorders>
            <w:shd w:val="clear" w:color="auto" w:fill="auto"/>
            <w:vAlign w:val="center"/>
          </w:tcPr>
          <w:p w14:paraId="67DF84D0">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不限</w:t>
            </w:r>
          </w:p>
        </w:tc>
        <w:tc>
          <w:tcPr>
            <w:tcW w:w="974" w:type="dxa"/>
            <w:tcBorders>
              <w:top w:val="nil"/>
              <w:left w:val="nil"/>
              <w:bottom w:val="single" w:color="000000" w:sz="8" w:space="0"/>
              <w:right w:val="single" w:color="000000" w:sz="8" w:space="0"/>
            </w:tcBorders>
            <w:shd w:val="clear" w:color="auto" w:fill="auto"/>
            <w:vAlign w:val="center"/>
          </w:tcPr>
          <w:p w14:paraId="3184B303">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≥250</w:t>
            </w:r>
          </w:p>
        </w:tc>
        <w:tc>
          <w:tcPr>
            <w:tcW w:w="721" w:type="dxa"/>
            <w:tcBorders>
              <w:top w:val="nil"/>
              <w:left w:val="nil"/>
              <w:bottom w:val="single" w:color="000000" w:sz="8" w:space="0"/>
              <w:right w:val="single" w:color="000000" w:sz="8" w:space="0"/>
            </w:tcBorders>
            <w:shd w:val="clear" w:color="auto" w:fill="auto"/>
            <w:vAlign w:val="center"/>
          </w:tcPr>
          <w:p w14:paraId="3BA87A5A">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不限</w:t>
            </w:r>
          </w:p>
        </w:tc>
        <w:tc>
          <w:tcPr>
            <w:tcW w:w="703" w:type="dxa"/>
            <w:tcBorders>
              <w:top w:val="nil"/>
              <w:left w:val="nil"/>
              <w:bottom w:val="single" w:color="000000" w:sz="8" w:space="0"/>
              <w:right w:val="single" w:color="000000" w:sz="8" w:space="0"/>
            </w:tcBorders>
            <w:shd w:val="clear" w:color="auto" w:fill="auto"/>
            <w:vAlign w:val="center"/>
          </w:tcPr>
          <w:p w14:paraId="124B0386">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液晶触摸屏</w:t>
            </w:r>
          </w:p>
        </w:tc>
        <w:tc>
          <w:tcPr>
            <w:tcW w:w="686" w:type="dxa"/>
            <w:tcBorders>
              <w:top w:val="nil"/>
              <w:left w:val="nil"/>
              <w:bottom w:val="single" w:color="000000" w:sz="8" w:space="0"/>
              <w:right w:val="single" w:color="000000" w:sz="8" w:space="0"/>
            </w:tcBorders>
            <w:shd w:val="clear" w:color="auto" w:fill="auto"/>
            <w:vAlign w:val="center"/>
          </w:tcPr>
          <w:p w14:paraId="12331CF3">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至少含复印/打印/扫描</w:t>
            </w:r>
          </w:p>
        </w:tc>
        <w:tc>
          <w:tcPr>
            <w:tcW w:w="480" w:type="dxa"/>
            <w:tcBorders>
              <w:top w:val="nil"/>
              <w:left w:val="nil"/>
              <w:bottom w:val="single" w:color="000000" w:sz="8" w:space="0"/>
              <w:right w:val="single" w:color="000000" w:sz="8" w:space="0"/>
            </w:tcBorders>
            <w:shd w:val="clear" w:color="auto" w:fill="auto"/>
            <w:vAlign w:val="center"/>
          </w:tcPr>
          <w:p w14:paraId="41C81C84">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支持</w:t>
            </w:r>
          </w:p>
        </w:tc>
        <w:tc>
          <w:tcPr>
            <w:tcW w:w="870" w:type="dxa"/>
            <w:tcBorders>
              <w:top w:val="nil"/>
              <w:left w:val="nil"/>
              <w:bottom w:val="single" w:color="000000" w:sz="8" w:space="0"/>
              <w:right w:val="single" w:color="000000" w:sz="8" w:space="0"/>
            </w:tcBorders>
            <w:shd w:val="clear" w:color="auto" w:fill="auto"/>
            <w:vAlign w:val="center"/>
          </w:tcPr>
          <w:p w14:paraId="275542CC">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w:t>
            </w:r>
          </w:p>
        </w:tc>
        <w:tc>
          <w:tcPr>
            <w:tcW w:w="1079" w:type="dxa"/>
            <w:tcBorders>
              <w:top w:val="nil"/>
              <w:left w:val="nil"/>
              <w:bottom w:val="single" w:color="000000" w:sz="8" w:space="0"/>
              <w:right w:val="single" w:color="000000" w:sz="8" w:space="0"/>
            </w:tcBorders>
            <w:shd w:val="clear" w:color="auto" w:fill="auto"/>
            <w:vAlign w:val="center"/>
          </w:tcPr>
          <w:p w14:paraId="266882DB">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876" w:type="dxa"/>
            <w:tcBorders>
              <w:top w:val="nil"/>
              <w:left w:val="nil"/>
              <w:bottom w:val="single" w:color="000000" w:sz="8" w:space="0"/>
              <w:right w:val="single" w:color="000000" w:sz="8" w:space="0"/>
            </w:tcBorders>
            <w:shd w:val="clear" w:color="auto" w:fill="auto"/>
            <w:vAlign w:val="center"/>
          </w:tcPr>
          <w:p w14:paraId="03560775">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由供应商填写产品适配的所有操作系统</w:t>
            </w:r>
          </w:p>
        </w:tc>
        <w:tc>
          <w:tcPr>
            <w:tcW w:w="720" w:type="dxa"/>
            <w:tcBorders>
              <w:top w:val="nil"/>
              <w:left w:val="nil"/>
              <w:bottom w:val="single" w:color="000000" w:sz="8" w:space="0"/>
              <w:right w:val="single" w:color="000000" w:sz="8" w:space="0"/>
            </w:tcBorders>
            <w:shd w:val="clear" w:color="auto" w:fill="auto"/>
            <w:vAlign w:val="center"/>
          </w:tcPr>
          <w:p w14:paraId="174D2BEF">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756" w:type="dxa"/>
            <w:tcBorders>
              <w:top w:val="nil"/>
              <w:left w:val="nil"/>
              <w:bottom w:val="single" w:color="000000" w:sz="8" w:space="0"/>
              <w:right w:val="single" w:color="000000" w:sz="8" w:space="0"/>
            </w:tcBorders>
            <w:shd w:val="clear" w:color="auto" w:fill="auto"/>
            <w:vAlign w:val="center"/>
          </w:tcPr>
          <w:p w14:paraId="4649864F">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≥1GB</w:t>
            </w:r>
          </w:p>
        </w:tc>
        <w:tc>
          <w:tcPr>
            <w:tcW w:w="756" w:type="dxa"/>
            <w:tcBorders>
              <w:top w:val="nil"/>
              <w:left w:val="nil"/>
              <w:bottom w:val="single" w:color="000000" w:sz="8" w:space="0"/>
              <w:right w:val="single" w:color="000000" w:sz="8" w:space="0"/>
            </w:tcBorders>
            <w:shd w:val="clear" w:color="auto" w:fill="auto"/>
            <w:vAlign w:val="center"/>
          </w:tcPr>
          <w:p w14:paraId="26F1EF7C">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w:t>
            </w:r>
          </w:p>
        </w:tc>
        <w:tc>
          <w:tcPr>
            <w:tcW w:w="564" w:type="dxa"/>
            <w:tcBorders>
              <w:top w:val="nil"/>
              <w:left w:val="nil"/>
              <w:bottom w:val="single" w:color="000000" w:sz="8" w:space="0"/>
              <w:right w:val="single" w:color="000000" w:sz="8" w:space="0"/>
            </w:tcBorders>
            <w:shd w:val="clear" w:color="auto" w:fill="auto"/>
            <w:vAlign w:val="center"/>
          </w:tcPr>
          <w:p w14:paraId="15DCA04F">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原装工作台</w:t>
            </w:r>
          </w:p>
        </w:tc>
        <w:tc>
          <w:tcPr>
            <w:tcW w:w="792" w:type="dxa"/>
            <w:tcBorders>
              <w:top w:val="nil"/>
              <w:left w:val="nil"/>
              <w:bottom w:val="single" w:color="000000" w:sz="8" w:space="0"/>
              <w:right w:val="single" w:color="000000" w:sz="8" w:space="0"/>
            </w:tcBorders>
            <w:shd w:val="clear" w:color="auto" w:fill="auto"/>
            <w:vAlign w:val="center"/>
          </w:tcPr>
          <w:p w14:paraId="5BCC5816">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15000</w:t>
            </w:r>
          </w:p>
        </w:tc>
      </w:tr>
      <w:tr w14:paraId="70C50A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9" w:hRule="atLeast"/>
        </w:trPr>
        <w:tc>
          <w:tcPr>
            <w:tcW w:w="552" w:type="dxa"/>
            <w:tcBorders>
              <w:top w:val="nil"/>
              <w:left w:val="single" w:color="000000" w:sz="8" w:space="0"/>
              <w:bottom w:val="single" w:color="000000" w:sz="8" w:space="0"/>
              <w:right w:val="single" w:color="000000" w:sz="8" w:space="0"/>
            </w:tcBorders>
            <w:shd w:val="clear" w:color="auto" w:fill="auto"/>
            <w:vAlign w:val="center"/>
          </w:tcPr>
          <w:p w14:paraId="222EFBFB">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9</w:t>
            </w:r>
          </w:p>
        </w:tc>
        <w:tc>
          <w:tcPr>
            <w:tcW w:w="617" w:type="dxa"/>
            <w:tcBorders>
              <w:top w:val="nil"/>
              <w:left w:val="nil"/>
              <w:bottom w:val="single" w:color="000000" w:sz="8" w:space="0"/>
              <w:right w:val="single" w:color="000000" w:sz="8" w:space="0"/>
            </w:tcBorders>
            <w:shd w:val="clear" w:color="auto" w:fill="auto"/>
            <w:vAlign w:val="center"/>
          </w:tcPr>
          <w:p w14:paraId="00659CFF">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激光</w:t>
            </w:r>
          </w:p>
        </w:tc>
        <w:tc>
          <w:tcPr>
            <w:tcW w:w="511" w:type="dxa"/>
            <w:tcBorders>
              <w:top w:val="nil"/>
              <w:left w:val="nil"/>
              <w:bottom w:val="single" w:color="000000" w:sz="8" w:space="0"/>
              <w:right w:val="single" w:color="000000" w:sz="8" w:space="0"/>
            </w:tcBorders>
            <w:shd w:val="clear" w:color="auto" w:fill="auto"/>
            <w:vAlign w:val="center"/>
          </w:tcPr>
          <w:p w14:paraId="5C0CFC43">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彩色</w:t>
            </w:r>
          </w:p>
        </w:tc>
        <w:tc>
          <w:tcPr>
            <w:tcW w:w="624" w:type="dxa"/>
            <w:tcBorders>
              <w:top w:val="nil"/>
              <w:left w:val="nil"/>
              <w:bottom w:val="single" w:color="000000" w:sz="8" w:space="0"/>
              <w:right w:val="single" w:color="000000" w:sz="8" w:space="0"/>
            </w:tcBorders>
            <w:shd w:val="clear" w:color="auto" w:fill="auto"/>
            <w:vAlign w:val="center"/>
          </w:tcPr>
          <w:p w14:paraId="00BA160C">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A3</w:t>
            </w:r>
          </w:p>
        </w:tc>
        <w:tc>
          <w:tcPr>
            <w:tcW w:w="756" w:type="dxa"/>
            <w:tcBorders>
              <w:top w:val="nil"/>
              <w:left w:val="nil"/>
              <w:bottom w:val="single" w:color="000000" w:sz="8" w:space="0"/>
              <w:right w:val="single" w:color="000000" w:sz="8" w:space="0"/>
            </w:tcBorders>
            <w:shd w:val="clear" w:color="auto" w:fill="auto"/>
            <w:vAlign w:val="center"/>
          </w:tcPr>
          <w:p w14:paraId="093F9AF5">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支持</w:t>
            </w:r>
          </w:p>
        </w:tc>
        <w:tc>
          <w:tcPr>
            <w:tcW w:w="792" w:type="dxa"/>
            <w:tcBorders>
              <w:top w:val="nil"/>
              <w:left w:val="nil"/>
              <w:bottom w:val="single" w:color="000000" w:sz="8" w:space="0"/>
              <w:right w:val="single" w:color="000000" w:sz="8" w:space="0"/>
            </w:tcBorders>
            <w:shd w:val="clear" w:color="auto" w:fill="auto"/>
            <w:vAlign w:val="center"/>
          </w:tcPr>
          <w:p w14:paraId="72D4D8EF">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≥22</w:t>
            </w:r>
          </w:p>
        </w:tc>
        <w:tc>
          <w:tcPr>
            <w:tcW w:w="835" w:type="dxa"/>
            <w:tcBorders>
              <w:top w:val="nil"/>
              <w:left w:val="nil"/>
              <w:bottom w:val="single" w:color="000000" w:sz="8" w:space="0"/>
              <w:right w:val="single" w:color="000000" w:sz="8" w:space="0"/>
            </w:tcBorders>
            <w:shd w:val="clear" w:color="auto" w:fill="auto"/>
            <w:vAlign w:val="center"/>
          </w:tcPr>
          <w:p w14:paraId="52F13FA6">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≥22</w:t>
            </w:r>
          </w:p>
        </w:tc>
        <w:tc>
          <w:tcPr>
            <w:tcW w:w="974" w:type="dxa"/>
            <w:tcBorders>
              <w:top w:val="nil"/>
              <w:left w:val="nil"/>
              <w:bottom w:val="single" w:color="000000" w:sz="8" w:space="0"/>
              <w:right w:val="single" w:color="000000" w:sz="8" w:space="0"/>
            </w:tcBorders>
            <w:shd w:val="clear" w:color="auto" w:fill="auto"/>
            <w:vAlign w:val="center"/>
          </w:tcPr>
          <w:p w14:paraId="20869D1D">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≥250</w:t>
            </w:r>
          </w:p>
        </w:tc>
        <w:tc>
          <w:tcPr>
            <w:tcW w:w="721" w:type="dxa"/>
            <w:tcBorders>
              <w:top w:val="nil"/>
              <w:left w:val="nil"/>
              <w:bottom w:val="single" w:color="000000" w:sz="8" w:space="0"/>
              <w:right w:val="single" w:color="000000" w:sz="8" w:space="0"/>
            </w:tcBorders>
            <w:shd w:val="clear" w:color="auto" w:fill="auto"/>
            <w:vAlign w:val="center"/>
          </w:tcPr>
          <w:p w14:paraId="3299B407">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703" w:type="dxa"/>
            <w:tcBorders>
              <w:top w:val="nil"/>
              <w:left w:val="nil"/>
              <w:bottom w:val="single" w:color="000000" w:sz="8" w:space="0"/>
              <w:right w:val="single" w:color="000000" w:sz="8" w:space="0"/>
            </w:tcBorders>
            <w:shd w:val="clear" w:color="auto" w:fill="auto"/>
            <w:vAlign w:val="center"/>
          </w:tcPr>
          <w:p w14:paraId="205ACB5F">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液晶触摸屏</w:t>
            </w:r>
          </w:p>
        </w:tc>
        <w:tc>
          <w:tcPr>
            <w:tcW w:w="686" w:type="dxa"/>
            <w:tcBorders>
              <w:top w:val="nil"/>
              <w:left w:val="nil"/>
              <w:bottom w:val="single" w:color="000000" w:sz="8" w:space="0"/>
              <w:right w:val="single" w:color="000000" w:sz="8" w:space="0"/>
            </w:tcBorders>
            <w:shd w:val="clear" w:color="auto" w:fill="auto"/>
            <w:vAlign w:val="center"/>
          </w:tcPr>
          <w:p w14:paraId="2156DEFB">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至少含复印/打印/扫描</w:t>
            </w:r>
          </w:p>
        </w:tc>
        <w:tc>
          <w:tcPr>
            <w:tcW w:w="480" w:type="dxa"/>
            <w:tcBorders>
              <w:top w:val="nil"/>
              <w:left w:val="nil"/>
              <w:bottom w:val="single" w:color="000000" w:sz="8" w:space="0"/>
              <w:right w:val="single" w:color="000000" w:sz="8" w:space="0"/>
            </w:tcBorders>
            <w:shd w:val="clear" w:color="auto" w:fill="auto"/>
            <w:vAlign w:val="center"/>
          </w:tcPr>
          <w:p w14:paraId="1CF0D52B">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支持</w:t>
            </w:r>
          </w:p>
        </w:tc>
        <w:tc>
          <w:tcPr>
            <w:tcW w:w="870" w:type="dxa"/>
            <w:tcBorders>
              <w:top w:val="nil"/>
              <w:left w:val="nil"/>
              <w:bottom w:val="single" w:color="000000" w:sz="8" w:space="0"/>
              <w:right w:val="single" w:color="000000" w:sz="8" w:space="0"/>
            </w:tcBorders>
            <w:shd w:val="clear" w:color="auto" w:fill="auto"/>
            <w:vAlign w:val="center"/>
          </w:tcPr>
          <w:p w14:paraId="7A9772D3">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w:t>
            </w:r>
          </w:p>
        </w:tc>
        <w:tc>
          <w:tcPr>
            <w:tcW w:w="1079" w:type="dxa"/>
            <w:tcBorders>
              <w:top w:val="nil"/>
              <w:left w:val="nil"/>
              <w:bottom w:val="single" w:color="000000" w:sz="8" w:space="0"/>
              <w:right w:val="single" w:color="000000" w:sz="8" w:space="0"/>
            </w:tcBorders>
            <w:shd w:val="clear" w:color="auto" w:fill="auto"/>
            <w:vAlign w:val="center"/>
          </w:tcPr>
          <w:p w14:paraId="19C52FF8">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876" w:type="dxa"/>
            <w:tcBorders>
              <w:top w:val="nil"/>
              <w:left w:val="nil"/>
              <w:bottom w:val="single" w:color="000000" w:sz="8" w:space="0"/>
              <w:right w:val="single" w:color="000000" w:sz="8" w:space="0"/>
            </w:tcBorders>
            <w:shd w:val="clear" w:color="auto" w:fill="auto"/>
            <w:vAlign w:val="center"/>
          </w:tcPr>
          <w:p w14:paraId="0D4FB308">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由供应商填写产品适配的所有操作系统</w:t>
            </w:r>
          </w:p>
        </w:tc>
        <w:tc>
          <w:tcPr>
            <w:tcW w:w="720" w:type="dxa"/>
            <w:tcBorders>
              <w:top w:val="nil"/>
              <w:left w:val="nil"/>
              <w:bottom w:val="single" w:color="000000" w:sz="8" w:space="0"/>
              <w:right w:val="single" w:color="000000" w:sz="8" w:space="0"/>
            </w:tcBorders>
            <w:shd w:val="clear" w:color="auto" w:fill="auto"/>
            <w:vAlign w:val="center"/>
          </w:tcPr>
          <w:p w14:paraId="48490781">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756" w:type="dxa"/>
            <w:tcBorders>
              <w:top w:val="nil"/>
              <w:left w:val="nil"/>
              <w:bottom w:val="single" w:color="000000" w:sz="8" w:space="0"/>
              <w:right w:val="single" w:color="000000" w:sz="8" w:space="0"/>
            </w:tcBorders>
            <w:shd w:val="clear" w:color="auto" w:fill="auto"/>
            <w:vAlign w:val="center"/>
          </w:tcPr>
          <w:p w14:paraId="108B9D34">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≥1GB</w:t>
            </w:r>
          </w:p>
        </w:tc>
        <w:tc>
          <w:tcPr>
            <w:tcW w:w="756" w:type="dxa"/>
            <w:tcBorders>
              <w:top w:val="nil"/>
              <w:left w:val="nil"/>
              <w:bottom w:val="single" w:color="000000" w:sz="8" w:space="0"/>
              <w:right w:val="single" w:color="000000" w:sz="8" w:space="0"/>
            </w:tcBorders>
            <w:shd w:val="clear" w:color="auto" w:fill="auto"/>
            <w:vAlign w:val="center"/>
          </w:tcPr>
          <w:p w14:paraId="412A25FE">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w:t>
            </w:r>
          </w:p>
        </w:tc>
        <w:tc>
          <w:tcPr>
            <w:tcW w:w="564" w:type="dxa"/>
            <w:tcBorders>
              <w:top w:val="nil"/>
              <w:left w:val="nil"/>
              <w:bottom w:val="single" w:color="000000" w:sz="8" w:space="0"/>
              <w:right w:val="single" w:color="000000" w:sz="8" w:space="0"/>
            </w:tcBorders>
            <w:shd w:val="clear" w:color="auto" w:fill="auto"/>
            <w:vAlign w:val="center"/>
          </w:tcPr>
          <w:p w14:paraId="36B61B68">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原装工作台</w:t>
            </w:r>
          </w:p>
        </w:tc>
        <w:tc>
          <w:tcPr>
            <w:tcW w:w="792" w:type="dxa"/>
            <w:tcBorders>
              <w:top w:val="nil"/>
              <w:left w:val="nil"/>
              <w:bottom w:val="single" w:color="000000" w:sz="8" w:space="0"/>
              <w:right w:val="single" w:color="000000" w:sz="8" w:space="0"/>
            </w:tcBorders>
            <w:shd w:val="clear" w:color="auto" w:fill="auto"/>
            <w:vAlign w:val="center"/>
          </w:tcPr>
          <w:p w14:paraId="1CF9D773">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18000</w:t>
            </w:r>
          </w:p>
        </w:tc>
      </w:tr>
      <w:tr w14:paraId="72148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9" w:hRule="atLeast"/>
        </w:trPr>
        <w:tc>
          <w:tcPr>
            <w:tcW w:w="552" w:type="dxa"/>
            <w:tcBorders>
              <w:top w:val="nil"/>
              <w:left w:val="single" w:color="000000" w:sz="8" w:space="0"/>
              <w:bottom w:val="single" w:color="000000" w:sz="8" w:space="0"/>
              <w:right w:val="single" w:color="000000" w:sz="8" w:space="0"/>
            </w:tcBorders>
            <w:shd w:val="clear" w:color="auto" w:fill="auto"/>
            <w:vAlign w:val="center"/>
          </w:tcPr>
          <w:p w14:paraId="4CBF86DA">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10</w:t>
            </w:r>
          </w:p>
        </w:tc>
        <w:tc>
          <w:tcPr>
            <w:tcW w:w="617" w:type="dxa"/>
            <w:tcBorders>
              <w:top w:val="nil"/>
              <w:left w:val="nil"/>
              <w:bottom w:val="single" w:color="000000" w:sz="8" w:space="0"/>
              <w:right w:val="single" w:color="000000" w:sz="8" w:space="0"/>
            </w:tcBorders>
            <w:shd w:val="clear" w:color="auto" w:fill="auto"/>
            <w:vAlign w:val="center"/>
          </w:tcPr>
          <w:p w14:paraId="75285FA1">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激光</w:t>
            </w:r>
          </w:p>
        </w:tc>
        <w:tc>
          <w:tcPr>
            <w:tcW w:w="511" w:type="dxa"/>
            <w:tcBorders>
              <w:top w:val="nil"/>
              <w:left w:val="nil"/>
              <w:bottom w:val="single" w:color="000000" w:sz="8" w:space="0"/>
              <w:right w:val="single" w:color="000000" w:sz="8" w:space="0"/>
            </w:tcBorders>
            <w:shd w:val="clear" w:color="auto" w:fill="auto"/>
            <w:vAlign w:val="center"/>
          </w:tcPr>
          <w:p w14:paraId="5E5DB23A">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彩色</w:t>
            </w:r>
          </w:p>
        </w:tc>
        <w:tc>
          <w:tcPr>
            <w:tcW w:w="624" w:type="dxa"/>
            <w:tcBorders>
              <w:top w:val="nil"/>
              <w:left w:val="nil"/>
              <w:bottom w:val="single" w:color="000000" w:sz="8" w:space="0"/>
              <w:right w:val="single" w:color="000000" w:sz="8" w:space="0"/>
            </w:tcBorders>
            <w:shd w:val="clear" w:color="auto" w:fill="auto"/>
            <w:vAlign w:val="center"/>
          </w:tcPr>
          <w:p w14:paraId="2E05AF24">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A3</w:t>
            </w:r>
          </w:p>
        </w:tc>
        <w:tc>
          <w:tcPr>
            <w:tcW w:w="756" w:type="dxa"/>
            <w:tcBorders>
              <w:top w:val="nil"/>
              <w:left w:val="nil"/>
              <w:bottom w:val="single" w:color="000000" w:sz="8" w:space="0"/>
              <w:right w:val="single" w:color="000000" w:sz="8" w:space="0"/>
            </w:tcBorders>
            <w:shd w:val="clear" w:color="auto" w:fill="auto"/>
            <w:vAlign w:val="center"/>
          </w:tcPr>
          <w:p w14:paraId="1E7B12DD">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支持</w:t>
            </w:r>
          </w:p>
        </w:tc>
        <w:tc>
          <w:tcPr>
            <w:tcW w:w="792" w:type="dxa"/>
            <w:tcBorders>
              <w:top w:val="nil"/>
              <w:left w:val="nil"/>
              <w:bottom w:val="single" w:color="000000" w:sz="8" w:space="0"/>
              <w:right w:val="single" w:color="000000" w:sz="8" w:space="0"/>
            </w:tcBorders>
            <w:shd w:val="clear" w:color="auto" w:fill="auto"/>
            <w:vAlign w:val="center"/>
          </w:tcPr>
          <w:p w14:paraId="396F348D">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≥24</w:t>
            </w:r>
          </w:p>
        </w:tc>
        <w:tc>
          <w:tcPr>
            <w:tcW w:w="835" w:type="dxa"/>
            <w:tcBorders>
              <w:top w:val="nil"/>
              <w:left w:val="nil"/>
              <w:bottom w:val="single" w:color="000000" w:sz="8" w:space="0"/>
              <w:right w:val="single" w:color="000000" w:sz="8" w:space="0"/>
            </w:tcBorders>
            <w:shd w:val="clear" w:color="auto" w:fill="auto"/>
            <w:vAlign w:val="center"/>
          </w:tcPr>
          <w:p w14:paraId="29E923E2">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≥24</w:t>
            </w:r>
          </w:p>
        </w:tc>
        <w:tc>
          <w:tcPr>
            <w:tcW w:w="974" w:type="dxa"/>
            <w:tcBorders>
              <w:top w:val="nil"/>
              <w:left w:val="nil"/>
              <w:bottom w:val="single" w:color="000000" w:sz="8" w:space="0"/>
              <w:right w:val="single" w:color="000000" w:sz="8" w:space="0"/>
            </w:tcBorders>
            <w:shd w:val="clear" w:color="auto" w:fill="auto"/>
            <w:vAlign w:val="center"/>
          </w:tcPr>
          <w:p w14:paraId="753576DA">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≥250</w:t>
            </w:r>
          </w:p>
        </w:tc>
        <w:tc>
          <w:tcPr>
            <w:tcW w:w="721" w:type="dxa"/>
            <w:tcBorders>
              <w:top w:val="nil"/>
              <w:left w:val="nil"/>
              <w:bottom w:val="single" w:color="000000" w:sz="8" w:space="0"/>
              <w:right w:val="single" w:color="000000" w:sz="8" w:space="0"/>
            </w:tcBorders>
            <w:shd w:val="clear" w:color="auto" w:fill="auto"/>
            <w:vAlign w:val="center"/>
          </w:tcPr>
          <w:p w14:paraId="2B1313E8">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703" w:type="dxa"/>
            <w:tcBorders>
              <w:top w:val="nil"/>
              <w:left w:val="nil"/>
              <w:bottom w:val="single" w:color="000000" w:sz="8" w:space="0"/>
              <w:right w:val="single" w:color="000000" w:sz="8" w:space="0"/>
            </w:tcBorders>
            <w:shd w:val="clear" w:color="auto" w:fill="auto"/>
            <w:vAlign w:val="center"/>
          </w:tcPr>
          <w:p w14:paraId="691513A1">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液晶触摸屏</w:t>
            </w:r>
          </w:p>
        </w:tc>
        <w:tc>
          <w:tcPr>
            <w:tcW w:w="686" w:type="dxa"/>
            <w:tcBorders>
              <w:top w:val="nil"/>
              <w:left w:val="nil"/>
              <w:bottom w:val="single" w:color="000000" w:sz="8" w:space="0"/>
              <w:right w:val="single" w:color="000000" w:sz="8" w:space="0"/>
            </w:tcBorders>
            <w:shd w:val="clear" w:color="auto" w:fill="auto"/>
            <w:vAlign w:val="center"/>
          </w:tcPr>
          <w:p w14:paraId="53215A08">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至少含复印/打印/扫描</w:t>
            </w:r>
          </w:p>
        </w:tc>
        <w:tc>
          <w:tcPr>
            <w:tcW w:w="480" w:type="dxa"/>
            <w:tcBorders>
              <w:top w:val="nil"/>
              <w:left w:val="nil"/>
              <w:bottom w:val="single" w:color="000000" w:sz="8" w:space="0"/>
              <w:right w:val="single" w:color="000000" w:sz="8" w:space="0"/>
            </w:tcBorders>
            <w:shd w:val="clear" w:color="auto" w:fill="auto"/>
            <w:vAlign w:val="center"/>
          </w:tcPr>
          <w:p w14:paraId="11330C52">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支持</w:t>
            </w:r>
          </w:p>
        </w:tc>
        <w:tc>
          <w:tcPr>
            <w:tcW w:w="870" w:type="dxa"/>
            <w:tcBorders>
              <w:top w:val="nil"/>
              <w:left w:val="nil"/>
              <w:bottom w:val="single" w:color="000000" w:sz="8" w:space="0"/>
              <w:right w:val="single" w:color="000000" w:sz="8" w:space="0"/>
            </w:tcBorders>
            <w:shd w:val="clear" w:color="auto" w:fill="auto"/>
            <w:vAlign w:val="center"/>
          </w:tcPr>
          <w:p w14:paraId="1338CD69">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w:t>
            </w:r>
          </w:p>
        </w:tc>
        <w:tc>
          <w:tcPr>
            <w:tcW w:w="1079" w:type="dxa"/>
            <w:tcBorders>
              <w:top w:val="nil"/>
              <w:left w:val="nil"/>
              <w:bottom w:val="single" w:color="000000" w:sz="8" w:space="0"/>
              <w:right w:val="single" w:color="000000" w:sz="8" w:space="0"/>
            </w:tcBorders>
            <w:shd w:val="clear" w:color="auto" w:fill="auto"/>
            <w:vAlign w:val="center"/>
          </w:tcPr>
          <w:p w14:paraId="251804DF">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876" w:type="dxa"/>
            <w:tcBorders>
              <w:top w:val="nil"/>
              <w:left w:val="nil"/>
              <w:bottom w:val="single" w:color="000000" w:sz="8" w:space="0"/>
              <w:right w:val="single" w:color="000000" w:sz="8" w:space="0"/>
            </w:tcBorders>
            <w:shd w:val="clear" w:color="auto" w:fill="auto"/>
            <w:vAlign w:val="center"/>
          </w:tcPr>
          <w:p w14:paraId="67CCBEAD">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由供应商填写产品适配的所有操作系统</w:t>
            </w:r>
          </w:p>
        </w:tc>
        <w:tc>
          <w:tcPr>
            <w:tcW w:w="720" w:type="dxa"/>
            <w:tcBorders>
              <w:top w:val="nil"/>
              <w:left w:val="nil"/>
              <w:bottom w:val="single" w:color="000000" w:sz="8" w:space="0"/>
              <w:right w:val="single" w:color="000000" w:sz="8" w:space="0"/>
            </w:tcBorders>
            <w:shd w:val="clear" w:color="auto" w:fill="auto"/>
            <w:vAlign w:val="center"/>
          </w:tcPr>
          <w:p w14:paraId="57471D8A">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756" w:type="dxa"/>
            <w:tcBorders>
              <w:top w:val="nil"/>
              <w:left w:val="nil"/>
              <w:bottom w:val="single" w:color="000000" w:sz="8" w:space="0"/>
              <w:right w:val="single" w:color="000000" w:sz="8" w:space="0"/>
            </w:tcBorders>
            <w:shd w:val="clear" w:color="auto" w:fill="auto"/>
            <w:vAlign w:val="center"/>
          </w:tcPr>
          <w:p w14:paraId="26BE59CC">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≥2GB</w:t>
            </w:r>
          </w:p>
        </w:tc>
        <w:tc>
          <w:tcPr>
            <w:tcW w:w="756" w:type="dxa"/>
            <w:tcBorders>
              <w:top w:val="nil"/>
              <w:left w:val="nil"/>
              <w:bottom w:val="single" w:color="000000" w:sz="8" w:space="0"/>
              <w:right w:val="single" w:color="000000" w:sz="8" w:space="0"/>
            </w:tcBorders>
            <w:shd w:val="clear" w:color="auto" w:fill="auto"/>
            <w:vAlign w:val="center"/>
          </w:tcPr>
          <w:p w14:paraId="63A4AEDC">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w:t>
            </w:r>
          </w:p>
        </w:tc>
        <w:tc>
          <w:tcPr>
            <w:tcW w:w="564" w:type="dxa"/>
            <w:tcBorders>
              <w:top w:val="nil"/>
              <w:left w:val="nil"/>
              <w:bottom w:val="single" w:color="000000" w:sz="8" w:space="0"/>
              <w:right w:val="single" w:color="000000" w:sz="8" w:space="0"/>
            </w:tcBorders>
            <w:shd w:val="clear" w:color="auto" w:fill="auto"/>
            <w:vAlign w:val="center"/>
          </w:tcPr>
          <w:p w14:paraId="14D6DEDC">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原装工作台</w:t>
            </w:r>
          </w:p>
        </w:tc>
        <w:tc>
          <w:tcPr>
            <w:tcW w:w="792" w:type="dxa"/>
            <w:tcBorders>
              <w:top w:val="nil"/>
              <w:left w:val="nil"/>
              <w:bottom w:val="single" w:color="000000" w:sz="8" w:space="0"/>
              <w:right w:val="single" w:color="000000" w:sz="8" w:space="0"/>
            </w:tcBorders>
            <w:shd w:val="clear" w:color="auto" w:fill="auto"/>
            <w:vAlign w:val="center"/>
          </w:tcPr>
          <w:p w14:paraId="0B48984A">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20000</w:t>
            </w:r>
          </w:p>
        </w:tc>
      </w:tr>
      <w:tr w14:paraId="685B13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9" w:hRule="atLeast"/>
        </w:trPr>
        <w:tc>
          <w:tcPr>
            <w:tcW w:w="552" w:type="dxa"/>
            <w:tcBorders>
              <w:top w:val="nil"/>
              <w:left w:val="single" w:color="000000" w:sz="8" w:space="0"/>
              <w:bottom w:val="single" w:color="000000" w:sz="8" w:space="0"/>
              <w:right w:val="single" w:color="000000" w:sz="8" w:space="0"/>
            </w:tcBorders>
            <w:shd w:val="clear" w:color="auto" w:fill="auto"/>
            <w:vAlign w:val="center"/>
          </w:tcPr>
          <w:p w14:paraId="1226C792">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11</w:t>
            </w:r>
          </w:p>
        </w:tc>
        <w:tc>
          <w:tcPr>
            <w:tcW w:w="617" w:type="dxa"/>
            <w:tcBorders>
              <w:top w:val="nil"/>
              <w:left w:val="nil"/>
              <w:bottom w:val="single" w:color="000000" w:sz="8" w:space="0"/>
              <w:right w:val="single" w:color="000000" w:sz="8" w:space="0"/>
            </w:tcBorders>
            <w:shd w:val="clear" w:color="auto" w:fill="auto"/>
            <w:vAlign w:val="center"/>
          </w:tcPr>
          <w:p w14:paraId="4D9B9589">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激光</w:t>
            </w:r>
          </w:p>
        </w:tc>
        <w:tc>
          <w:tcPr>
            <w:tcW w:w="511" w:type="dxa"/>
            <w:tcBorders>
              <w:top w:val="nil"/>
              <w:left w:val="nil"/>
              <w:bottom w:val="single" w:color="000000" w:sz="8" w:space="0"/>
              <w:right w:val="single" w:color="000000" w:sz="8" w:space="0"/>
            </w:tcBorders>
            <w:shd w:val="clear" w:color="auto" w:fill="auto"/>
            <w:vAlign w:val="center"/>
          </w:tcPr>
          <w:p w14:paraId="6C6A0C24">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彩色</w:t>
            </w:r>
          </w:p>
        </w:tc>
        <w:tc>
          <w:tcPr>
            <w:tcW w:w="624" w:type="dxa"/>
            <w:tcBorders>
              <w:top w:val="nil"/>
              <w:left w:val="nil"/>
              <w:bottom w:val="single" w:color="000000" w:sz="8" w:space="0"/>
              <w:right w:val="single" w:color="000000" w:sz="8" w:space="0"/>
            </w:tcBorders>
            <w:shd w:val="clear" w:color="auto" w:fill="auto"/>
            <w:vAlign w:val="center"/>
          </w:tcPr>
          <w:p w14:paraId="16311633">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A3</w:t>
            </w:r>
          </w:p>
        </w:tc>
        <w:tc>
          <w:tcPr>
            <w:tcW w:w="756" w:type="dxa"/>
            <w:tcBorders>
              <w:top w:val="nil"/>
              <w:left w:val="nil"/>
              <w:bottom w:val="single" w:color="000000" w:sz="8" w:space="0"/>
              <w:right w:val="single" w:color="000000" w:sz="8" w:space="0"/>
            </w:tcBorders>
            <w:shd w:val="clear" w:color="auto" w:fill="auto"/>
            <w:vAlign w:val="center"/>
          </w:tcPr>
          <w:p w14:paraId="4D9C16BB">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支持</w:t>
            </w:r>
          </w:p>
        </w:tc>
        <w:tc>
          <w:tcPr>
            <w:tcW w:w="792" w:type="dxa"/>
            <w:tcBorders>
              <w:top w:val="nil"/>
              <w:left w:val="nil"/>
              <w:bottom w:val="single" w:color="000000" w:sz="8" w:space="0"/>
              <w:right w:val="single" w:color="000000" w:sz="8" w:space="0"/>
            </w:tcBorders>
            <w:shd w:val="clear" w:color="auto" w:fill="auto"/>
            <w:vAlign w:val="center"/>
          </w:tcPr>
          <w:p w14:paraId="31EAB83D">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≥25</w:t>
            </w:r>
          </w:p>
        </w:tc>
        <w:tc>
          <w:tcPr>
            <w:tcW w:w="835" w:type="dxa"/>
            <w:tcBorders>
              <w:top w:val="nil"/>
              <w:left w:val="nil"/>
              <w:bottom w:val="single" w:color="000000" w:sz="8" w:space="0"/>
              <w:right w:val="single" w:color="000000" w:sz="8" w:space="0"/>
            </w:tcBorders>
            <w:shd w:val="clear" w:color="auto" w:fill="auto"/>
            <w:vAlign w:val="center"/>
          </w:tcPr>
          <w:p w14:paraId="2E54C57A">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≥25</w:t>
            </w:r>
          </w:p>
        </w:tc>
        <w:tc>
          <w:tcPr>
            <w:tcW w:w="974" w:type="dxa"/>
            <w:tcBorders>
              <w:top w:val="nil"/>
              <w:left w:val="nil"/>
              <w:bottom w:val="single" w:color="000000" w:sz="8" w:space="0"/>
              <w:right w:val="single" w:color="000000" w:sz="8" w:space="0"/>
            </w:tcBorders>
            <w:shd w:val="clear" w:color="auto" w:fill="auto"/>
            <w:vAlign w:val="center"/>
          </w:tcPr>
          <w:p w14:paraId="5E6F3923">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≥500</w:t>
            </w:r>
          </w:p>
        </w:tc>
        <w:tc>
          <w:tcPr>
            <w:tcW w:w="721" w:type="dxa"/>
            <w:tcBorders>
              <w:top w:val="nil"/>
              <w:left w:val="nil"/>
              <w:bottom w:val="single" w:color="000000" w:sz="8" w:space="0"/>
              <w:right w:val="single" w:color="000000" w:sz="8" w:space="0"/>
            </w:tcBorders>
            <w:shd w:val="clear" w:color="auto" w:fill="auto"/>
            <w:vAlign w:val="center"/>
          </w:tcPr>
          <w:p w14:paraId="69C31D1D">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703" w:type="dxa"/>
            <w:tcBorders>
              <w:top w:val="nil"/>
              <w:left w:val="nil"/>
              <w:bottom w:val="single" w:color="000000" w:sz="8" w:space="0"/>
              <w:right w:val="single" w:color="000000" w:sz="8" w:space="0"/>
            </w:tcBorders>
            <w:shd w:val="clear" w:color="auto" w:fill="auto"/>
            <w:vAlign w:val="center"/>
          </w:tcPr>
          <w:p w14:paraId="464BA60D">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液晶触摸屏</w:t>
            </w:r>
          </w:p>
        </w:tc>
        <w:tc>
          <w:tcPr>
            <w:tcW w:w="686" w:type="dxa"/>
            <w:tcBorders>
              <w:top w:val="nil"/>
              <w:left w:val="nil"/>
              <w:bottom w:val="single" w:color="000000" w:sz="8" w:space="0"/>
              <w:right w:val="single" w:color="000000" w:sz="8" w:space="0"/>
            </w:tcBorders>
            <w:shd w:val="clear" w:color="auto" w:fill="auto"/>
            <w:vAlign w:val="center"/>
          </w:tcPr>
          <w:p w14:paraId="6196D6AA">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至少含复印/打印/扫描</w:t>
            </w:r>
          </w:p>
        </w:tc>
        <w:tc>
          <w:tcPr>
            <w:tcW w:w="480" w:type="dxa"/>
            <w:tcBorders>
              <w:top w:val="nil"/>
              <w:left w:val="nil"/>
              <w:bottom w:val="single" w:color="000000" w:sz="8" w:space="0"/>
              <w:right w:val="single" w:color="000000" w:sz="8" w:space="0"/>
            </w:tcBorders>
            <w:shd w:val="clear" w:color="auto" w:fill="auto"/>
            <w:vAlign w:val="center"/>
          </w:tcPr>
          <w:p w14:paraId="130C763C">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支持</w:t>
            </w:r>
          </w:p>
        </w:tc>
        <w:tc>
          <w:tcPr>
            <w:tcW w:w="870" w:type="dxa"/>
            <w:tcBorders>
              <w:top w:val="nil"/>
              <w:left w:val="nil"/>
              <w:bottom w:val="single" w:color="000000" w:sz="8" w:space="0"/>
              <w:right w:val="single" w:color="000000" w:sz="8" w:space="0"/>
            </w:tcBorders>
            <w:shd w:val="clear" w:color="auto" w:fill="auto"/>
            <w:vAlign w:val="center"/>
          </w:tcPr>
          <w:p w14:paraId="2B61A171">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w:t>
            </w:r>
          </w:p>
        </w:tc>
        <w:tc>
          <w:tcPr>
            <w:tcW w:w="1079" w:type="dxa"/>
            <w:tcBorders>
              <w:top w:val="nil"/>
              <w:left w:val="nil"/>
              <w:bottom w:val="single" w:color="000000" w:sz="8" w:space="0"/>
              <w:right w:val="single" w:color="000000" w:sz="8" w:space="0"/>
            </w:tcBorders>
            <w:shd w:val="clear" w:color="auto" w:fill="auto"/>
            <w:vAlign w:val="center"/>
          </w:tcPr>
          <w:p w14:paraId="41D1505E">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876" w:type="dxa"/>
            <w:tcBorders>
              <w:top w:val="nil"/>
              <w:left w:val="nil"/>
              <w:bottom w:val="single" w:color="000000" w:sz="8" w:space="0"/>
              <w:right w:val="single" w:color="000000" w:sz="8" w:space="0"/>
            </w:tcBorders>
            <w:shd w:val="clear" w:color="auto" w:fill="auto"/>
            <w:vAlign w:val="center"/>
          </w:tcPr>
          <w:p w14:paraId="5F840DC6">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由供应商填写产品适配的所有操作系统</w:t>
            </w:r>
          </w:p>
        </w:tc>
        <w:tc>
          <w:tcPr>
            <w:tcW w:w="720" w:type="dxa"/>
            <w:tcBorders>
              <w:top w:val="nil"/>
              <w:left w:val="nil"/>
              <w:bottom w:val="single" w:color="000000" w:sz="8" w:space="0"/>
              <w:right w:val="single" w:color="000000" w:sz="8" w:space="0"/>
            </w:tcBorders>
            <w:shd w:val="clear" w:color="auto" w:fill="auto"/>
            <w:vAlign w:val="center"/>
          </w:tcPr>
          <w:p w14:paraId="4FDA26CA">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756" w:type="dxa"/>
            <w:tcBorders>
              <w:top w:val="nil"/>
              <w:left w:val="nil"/>
              <w:bottom w:val="single" w:color="000000" w:sz="8" w:space="0"/>
              <w:right w:val="single" w:color="000000" w:sz="8" w:space="0"/>
            </w:tcBorders>
            <w:shd w:val="clear" w:color="auto" w:fill="auto"/>
            <w:vAlign w:val="center"/>
          </w:tcPr>
          <w:p w14:paraId="3A8F9F88">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≥2GB</w:t>
            </w:r>
          </w:p>
        </w:tc>
        <w:tc>
          <w:tcPr>
            <w:tcW w:w="756" w:type="dxa"/>
            <w:tcBorders>
              <w:top w:val="nil"/>
              <w:left w:val="nil"/>
              <w:bottom w:val="single" w:color="000000" w:sz="8" w:space="0"/>
              <w:right w:val="single" w:color="000000" w:sz="8" w:space="0"/>
            </w:tcBorders>
            <w:shd w:val="clear" w:color="auto" w:fill="auto"/>
            <w:vAlign w:val="center"/>
          </w:tcPr>
          <w:p w14:paraId="6D0CD452">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w:t>
            </w:r>
          </w:p>
        </w:tc>
        <w:tc>
          <w:tcPr>
            <w:tcW w:w="564" w:type="dxa"/>
            <w:tcBorders>
              <w:top w:val="nil"/>
              <w:left w:val="nil"/>
              <w:bottom w:val="single" w:color="000000" w:sz="8" w:space="0"/>
              <w:right w:val="single" w:color="000000" w:sz="8" w:space="0"/>
            </w:tcBorders>
            <w:shd w:val="clear" w:color="auto" w:fill="auto"/>
            <w:vAlign w:val="center"/>
          </w:tcPr>
          <w:p w14:paraId="7ED1A0AE">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原装工作台</w:t>
            </w:r>
          </w:p>
        </w:tc>
        <w:tc>
          <w:tcPr>
            <w:tcW w:w="792" w:type="dxa"/>
            <w:tcBorders>
              <w:top w:val="nil"/>
              <w:left w:val="nil"/>
              <w:bottom w:val="single" w:color="000000" w:sz="8" w:space="0"/>
              <w:right w:val="single" w:color="000000" w:sz="8" w:space="0"/>
            </w:tcBorders>
            <w:shd w:val="clear" w:color="auto" w:fill="auto"/>
            <w:vAlign w:val="center"/>
          </w:tcPr>
          <w:p w14:paraId="1A8D2EFF">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23000</w:t>
            </w:r>
          </w:p>
        </w:tc>
      </w:tr>
      <w:tr w14:paraId="483E4B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9" w:hRule="atLeast"/>
        </w:trPr>
        <w:tc>
          <w:tcPr>
            <w:tcW w:w="552" w:type="dxa"/>
            <w:tcBorders>
              <w:top w:val="nil"/>
              <w:left w:val="single" w:color="000000" w:sz="8" w:space="0"/>
              <w:bottom w:val="single" w:color="000000" w:sz="8" w:space="0"/>
              <w:right w:val="single" w:color="000000" w:sz="8" w:space="0"/>
            </w:tcBorders>
            <w:shd w:val="clear" w:color="auto" w:fill="auto"/>
            <w:vAlign w:val="center"/>
          </w:tcPr>
          <w:p w14:paraId="3C93874C">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12</w:t>
            </w:r>
          </w:p>
        </w:tc>
        <w:tc>
          <w:tcPr>
            <w:tcW w:w="617" w:type="dxa"/>
            <w:tcBorders>
              <w:top w:val="nil"/>
              <w:left w:val="nil"/>
              <w:bottom w:val="single" w:color="000000" w:sz="8" w:space="0"/>
              <w:right w:val="single" w:color="000000" w:sz="8" w:space="0"/>
            </w:tcBorders>
            <w:shd w:val="clear" w:color="auto" w:fill="auto"/>
            <w:vAlign w:val="center"/>
          </w:tcPr>
          <w:p w14:paraId="4B76E9BD">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激光</w:t>
            </w:r>
          </w:p>
        </w:tc>
        <w:tc>
          <w:tcPr>
            <w:tcW w:w="511" w:type="dxa"/>
            <w:tcBorders>
              <w:top w:val="nil"/>
              <w:left w:val="nil"/>
              <w:bottom w:val="single" w:color="000000" w:sz="8" w:space="0"/>
              <w:right w:val="single" w:color="000000" w:sz="8" w:space="0"/>
            </w:tcBorders>
            <w:shd w:val="clear" w:color="auto" w:fill="auto"/>
            <w:vAlign w:val="center"/>
          </w:tcPr>
          <w:p w14:paraId="395ACC0F">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彩色</w:t>
            </w:r>
          </w:p>
        </w:tc>
        <w:tc>
          <w:tcPr>
            <w:tcW w:w="624" w:type="dxa"/>
            <w:tcBorders>
              <w:top w:val="nil"/>
              <w:left w:val="nil"/>
              <w:bottom w:val="single" w:color="000000" w:sz="8" w:space="0"/>
              <w:right w:val="single" w:color="000000" w:sz="8" w:space="0"/>
            </w:tcBorders>
            <w:shd w:val="clear" w:color="auto" w:fill="auto"/>
            <w:vAlign w:val="center"/>
          </w:tcPr>
          <w:p w14:paraId="32BD69FF">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A3</w:t>
            </w:r>
          </w:p>
        </w:tc>
        <w:tc>
          <w:tcPr>
            <w:tcW w:w="756" w:type="dxa"/>
            <w:tcBorders>
              <w:top w:val="nil"/>
              <w:left w:val="nil"/>
              <w:bottom w:val="single" w:color="000000" w:sz="8" w:space="0"/>
              <w:right w:val="single" w:color="000000" w:sz="8" w:space="0"/>
            </w:tcBorders>
            <w:shd w:val="clear" w:color="auto" w:fill="auto"/>
            <w:vAlign w:val="center"/>
          </w:tcPr>
          <w:p w14:paraId="3E03A114">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支持</w:t>
            </w:r>
          </w:p>
        </w:tc>
        <w:tc>
          <w:tcPr>
            <w:tcW w:w="792" w:type="dxa"/>
            <w:tcBorders>
              <w:top w:val="nil"/>
              <w:left w:val="nil"/>
              <w:bottom w:val="single" w:color="000000" w:sz="8" w:space="0"/>
              <w:right w:val="single" w:color="000000" w:sz="8" w:space="0"/>
            </w:tcBorders>
            <w:shd w:val="clear" w:color="auto" w:fill="auto"/>
            <w:vAlign w:val="center"/>
          </w:tcPr>
          <w:p w14:paraId="6F87DE9D">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≥28</w:t>
            </w:r>
          </w:p>
        </w:tc>
        <w:tc>
          <w:tcPr>
            <w:tcW w:w="835" w:type="dxa"/>
            <w:tcBorders>
              <w:top w:val="nil"/>
              <w:left w:val="nil"/>
              <w:bottom w:val="single" w:color="000000" w:sz="8" w:space="0"/>
              <w:right w:val="single" w:color="000000" w:sz="8" w:space="0"/>
            </w:tcBorders>
            <w:shd w:val="clear" w:color="auto" w:fill="auto"/>
            <w:vAlign w:val="center"/>
          </w:tcPr>
          <w:p w14:paraId="1AC86228">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≥30</w:t>
            </w:r>
          </w:p>
        </w:tc>
        <w:tc>
          <w:tcPr>
            <w:tcW w:w="974" w:type="dxa"/>
            <w:tcBorders>
              <w:top w:val="nil"/>
              <w:left w:val="nil"/>
              <w:bottom w:val="single" w:color="000000" w:sz="8" w:space="0"/>
              <w:right w:val="single" w:color="000000" w:sz="8" w:space="0"/>
            </w:tcBorders>
            <w:shd w:val="clear" w:color="auto" w:fill="auto"/>
            <w:vAlign w:val="center"/>
          </w:tcPr>
          <w:p w14:paraId="32B7AA4B">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≥500</w:t>
            </w:r>
          </w:p>
        </w:tc>
        <w:tc>
          <w:tcPr>
            <w:tcW w:w="721" w:type="dxa"/>
            <w:tcBorders>
              <w:top w:val="nil"/>
              <w:left w:val="nil"/>
              <w:bottom w:val="single" w:color="000000" w:sz="8" w:space="0"/>
              <w:right w:val="single" w:color="000000" w:sz="8" w:space="0"/>
            </w:tcBorders>
            <w:shd w:val="clear" w:color="auto" w:fill="auto"/>
            <w:vAlign w:val="center"/>
          </w:tcPr>
          <w:p w14:paraId="214A684D">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703" w:type="dxa"/>
            <w:tcBorders>
              <w:top w:val="nil"/>
              <w:left w:val="nil"/>
              <w:bottom w:val="single" w:color="000000" w:sz="8" w:space="0"/>
              <w:right w:val="single" w:color="000000" w:sz="8" w:space="0"/>
            </w:tcBorders>
            <w:shd w:val="clear" w:color="auto" w:fill="auto"/>
            <w:vAlign w:val="center"/>
          </w:tcPr>
          <w:p w14:paraId="7B0E9579">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液晶触摸屏</w:t>
            </w:r>
          </w:p>
        </w:tc>
        <w:tc>
          <w:tcPr>
            <w:tcW w:w="686" w:type="dxa"/>
            <w:tcBorders>
              <w:top w:val="nil"/>
              <w:left w:val="nil"/>
              <w:bottom w:val="single" w:color="000000" w:sz="8" w:space="0"/>
              <w:right w:val="single" w:color="000000" w:sz="8" w:space="0"/>
            </w:tcBorders>
            <w:shd w:val="clear" w:color="auto" w:fill="auto"/>
            <w:vAlign w:val="center"/>
          </w:tcPr>
          <w:p w14:paraId="79322B73">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至少含复印/打印/扫描</w:t>
            </w:r>
          </w:p>
        </w:tc>
        <w:tc>
          <w:tcPr>
            <w:tcW w:w="480" w:type="dxa"/>
            <w:tcBorders>
              <w:top w:val="nil"/>
              <w:left w:val="nil"/>
              <w:bottom w:val="single" w:color="000000" w:sz="8" w:space="0"/>
              <w:right w:val="single" w:color="000000" w:sz="8" w:space="0"/>
            </w:tcBorders>
            <w:shd w:val="clear" w:color="auto" w:fill="auto"/>
            <w:vAlign w:val="center"/>
          </w:tcPr>
          <w:p w14:paraId="445C1C00">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支持</w:t>
            </w:r>
          </w:p>
        </w:tc>
        <w:tc>
          <w:tcPr>
            <w:tcW w:w="870" w:type="dxa"/>
            <w:tcBorders>
              <w:top w:val="nil"/>
              <w:left w:val="nil"/>
              <w:bottom w:val="single" w:color="000000" w:sz="8" w:space="0"/>
              <w:right w:val="single" w:color="000000" w:sz="8" w:space="0"/>
            </w:tcBorders>
            <w:shd w:val="clear" w:color="auto" w:fill="auto"/>
            <w:vAlign w:val="center"/>
          </w:tcPr>
          <w:p w14:paraId="5732D4E0">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w:t>
            </w:r>
          </w:p>
        </w:tc>
        <w:tc>
          <w:tcPr>
            <w:tcW w:w="1079" w:type="dxa"/>
            <w:tcBorders>
              <w:top w:val="nil"/>
              <w:left w:val="nil"/>
              <w:bottom w:val="single" w:color="000000" w:sz="8" w:space="0"/>
              <w:right w:val="single" w:color="000000" w:sz="8" w:space="0"/>
            </w:tcBorders>
            <w:shd w:val="clear" w:color="auto" w:fill="auto"/>
            <w:vAlign w:val="center"/>
          </w:tcPr>
          <w:p w14:paraId="4487BB5B">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876" w:type="dxa"/>
            <w:tcBorders>
              <w:top w:val="nil"/>
              <w:left w:val="nil"/>
              <w:bottom w:val="single" w:color="000000" w:sz="8" w:space="0"/>
              <w:right w:val="single" w:color="000000" w:sz="8" w:space="0"/>
            </w:tcBorders>
            <w:shd w:val="clear" w:color="auto" w:fill="auto"/>
            <w:vAlign w:val="center"/>
          </w:tcPr>
          <w:p w14:paraId="4A5598DA">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由供应商填写产品适配的所有操作系统</w:t>
            </w:r>
          </w:p>
        </w:tc>
        <w:tc>
          <w:tcPr>
            <w:tcW w:w="720" w:type="dxa"/>
            <w:tcBorders>
              <w:top w:val="nil"/>
              <w:left w:val="nil"/>
              <w:bottom w:val="single" w:color="000000" w:sz="8" w:space="0"/>
              <w:right w:val="single" w:color="000000" w:sz="8" w:space="0"/>
            </w:tcBorders>
            <w:shd w:val="clear" w:color="auto" w:fill="auto"/>
            <w:vAlign w:val="center"/>
          </w:tcPr>
          <w:p w14:paraId="2BD7FCA0">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756" w:type="dxa"/>
            <w:tcBorders>
              <w:top w:val="nil"/>
              <w:left w:val="nil"/>
              <w:bottom w:val="single" w:color="000000" w:sz="8" w:space="0"/>
              <w:right w:val="single" w:color="000000" w:sz="8" w:space="0"/>
            </w:tcBorders>
            <w:shd w:val="clear" w:color="auto" w:fill="auto"/>
            <w:vAlign w:val="center"/>
          </w:tcPr>
          <w:p w14:paraId="29AAE759">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≥2GB</w:t>
            </w:r>
          </w:p>
        </w:tc>
        <w:tc>
          <w:tcPr>
            <w:tcW w:w="756" w:type="dxa"/>
            <w:tcBorders>
              <w:top w:val="nil"/>
              <w:left w:val="nil"/>
              <w:bottom w:val="single" w:color="000000" w:sz="8" w:space="0"/>
              <w:right w:val="single" w:color="000000" w:sz="8" w:space="0"/>
            </w:tcBorders>
            <w:shd w:val="clear" w:color="auto" w:fill="auto"/>
            <w:vAlign w:val="center"/>
          </w:tcPr>
          <w:p w14:paraId="2BCC8944">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w:t>
            </w:r>
          </w:p>
        </w:tc>
        <w:tc>
          <w:tcPr>
            <w:tcW w:w="564" w:type="dxa"/>
            <w:tcBorders>
              <w:top w:val="nil"/>
              <w:left w:val="nil"/>
              <w:bottom w:val="single" w:color="000000" w:sz="8" w:space="0"/>
              <w:right w:val="single" w:color="000000" w:sz="8" w:space="0"/>
            </w:tcBorders>
            <w:shd w:val="clear" w:color="auto" w:fill="auto"/>
            <w:vAlign w:val="center"/>
          </w:tcPr>
          <w:p w14:paraId="7F0E5568">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原装工作台</w:t>
            </w:r>
          </w:p>
        </w:tc>
        <w:tc>
          <w:tcPr>
            <w:tcW w:w="792" w:type="dxa"/>
            <w:tcBorders>
              <w:top w:val="nil"/>
              <w:left w:val="nil"/>
              <w:bottom w:val="single" w:color="000000" w:sz="8" w:space="0"/>
              <w:right w:val="single" w:color="000000" w:sz="8" w:space="0"/>
            </w:tcBorders>
            <w:shd w:val="clear" w:color="auto" w:fill="auto"/>
            <w:vAlign w:val="center"/>
          </w:tcPr>
          <w:p w14:paraId="04DA5D17">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26000</w:t>
            </w:r>
          </w:p>
        </w:tc>
      </w:tr>
      <w:tr w14:paraId="2FE1E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9" w:hRule="atLeast"/>
        </w:trPr>
        <w:tc>
          <w:tcPr>
            <w:tcW w:w="552" w:type="dxa"/>
            <w:tcBorders>
              <w:top w:val="nil"/>
              <w:left w:val="single" w:color="000000" w:sz="8" w:space="0"/>
              <w:bottom w:val="single" w:color="000000" w:sz="8" w:space="0"/>
              <w:right w:val="single" w:color="000000" w:sz="8" w:space="0"/>
            </w:tcBorders>
            <w:shd w:val="clear" w:color="auto" w:fill="auto"/>
            <w:vAlign w:val="center"/>
          </w:tcPr>
          <w:p w14:paraId="632D0066">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13</w:t>
            </w:r>
          </w:p>
        </w:tc>
        <w:tc>
          <w:tcPr>
            <w:tcW w:w="617" w:type="dxa"/>
            <w:tcBorders>
              <w:top w:val="nil"/>
              <w:left w:val="nil"/>
              <w:bottom w:val="single" w:color="000000" w:sz="8" w:space="0"/>
              <w:right w:val="single" w:color="000000" w:sz="8" w:space="0"/>
            </w:tcBorders>
            <w:shd w:val="clear" w:color="auto" w:fill="auto"/>
            <w:vAlign w:val="center"/>
          </w:tcPr>
          <w:p w14:paraId="670463CE">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激光</w:t>
            </w:r>
          </w:p>
        </w:tc>
        <w:tc>
          <w:tcPr>
            <w:tcW w:w="511" w:type="dxa"/>
            <w:tcBorders>
              <w:top w:val="nil"/>
              <w:left w:val="nil"/>
              <w:bottom w:val="single" w:color="000000" w:sz="8" w:space="0"/>
              <w:right w:val="single" w:color="000000" w:sz="8" w:space="0"/>
            </w:tcBorders>
            <w:shd w:val="clear" w:color="auto" w:fill="auto"/>
            <w:vAlign w:val="center"/>
          </w:tcPr>
          <w:p w14:paraId="10161C50">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彩色</w:t>
            </w:r>
          </w:p>
        </w:tc>
        <w:tc>
          <w:tcPr>
            <w:tcW w:w="624" w:type="dxa"/>
            <w:tcBorders>
              <w:top w:val="nil"/>
              <w:left w:val="nil"/>
              <w:bottom w:val="single" w:color="000000" w:sz="8" w:space="0"/>
              <w:right w:val="single" w:color="000000" w:sz="8" w:space="0"/>
            </w:tcBorders>
            <w:shd w:val="clear" w:color="auto" w:fill="auto"/>
            <w:vAlign w:val="center"/>
          </w:tcPr>
          <w:p w14:paraId="5218E40C">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A3</w:t>
            </w:r>
          </w:p>
        </w:tc>
        <w:tc>
          <w:tcPr>
            <w:tcW w:w="756" w:type="dxa"/>
            <w:tcBorders>
              <w:top w:val="nil"/>
              <w:left w:val="nil"/>
              <w:bottom w:val="single" w:color="000000" w:sz="8" w:space="0"/>
              <w:right w:val="single" w:color="000000" w:sz="8" w:space="0"/>
            </w:tcBorders>
            <w:shd w:val="clear" w:color="auto" w:fill="auto"/>
            <w:vAlign w:val="center"/>
          </w:tcPr>
          <w:p w14:paraId="5FF1E2B6">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支持</w:t>
            </w:r>
          </w:p>
        </w:tc>
        <w:tc>
          <w:tcPr>
            <w:tcW w:w="792" w:type="dxa"/>
            <w:tcBorders>
              <w:top w:val="nil"/>
              <w:left w:val="nil"/>
              <w:bottom w:val="single" w:color="000000" w:sz="8" w:space="0"/>
              <w:right w:val="single" w:color="000000" w:sz="8" w:space="0"/>
            </w:tcBorders>
            <w:shd w:val="clear" w:color="auto" w:fill="auto"/>
            <w:vAlign w:val="center"/>
          </w:tcPr>
          <w:p w14:paraId="2EF2761A">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≥30</w:t>
            </w:r>
          </w:p>
        </w:tc>
        <w:tc>
          <w:tcPr>
            <w:tcW w:w="835" w:type="dxa"/>
            <w:tcBorders>
              <w:top w:val="nil"/>
              <w:left w:val="nil"/>
              <w:bottom w:val="single" w:color="000000" w:sz="8" w:space="0"/>
              <w:right w:val="single" w:color="000000" w:sz="8" w:space="0"/>
            </w:tcBorders>
            <w:shd w:val="clear" w:color="auto" w:fill="auto"/>
            <w:vAlign w:val="center"/>
          </w:tcPr>
          <w:p w14:paraId="5925A718">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≥40</w:t>
            </w:r>
          </w:p>
        </w:tc>
        <w:tc>
          <w:tcPr>
            <w:tcW w:w="974" w:type="dxa"/>
            <w:tcBorders>
              <w:top w:val="nil"/>
              <w:left w:val="nil"/>
              <w:bottom w:val="single" w:color="000000" w:sz="8" w:space="0"/>
              <w:right w:val="single" w:color="000000" w:sz="8" w:space="0"/>
            </w:tcBorders>
            <w:shd w:val="clear" w:color="auto" w:fill="auto"/>
            <w:vAlign w:val="center"/>
          </w:tcPr>
          <w:p w14:paraId="5DA19E29">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≥500</w:t>
            </w:r>
          </w:p>
        </w:tc>
        <w:tc>
          <w:tcPr>
            <w:tcW w:w="721" w:type="dxa"/>
            <w:tcBorders>
              <w:top w:val="nil"/>
              <w:left w:val="nil"/>
              <w:bottom w:val="single" w:color="000000" w:sz="8" w:space="0"/>
              <w:right w:val="single" w:color="000000" w:sz="8" w:space="0"/>
            </w:tcBorders>
            <w:shd w:val="clear" w:color="auto" w:fill="auto"/>
            <w:vAlign w:val="center"/>
          </w:tcPr>
          <w:p w14:paraId="480BB17B">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703" w:type="dxa"/>
            <w:tcBorders>
              <w:top w:val="nil"/>
              <w:left w:val="nil"/>
              <w:bottom w:val="single" w:color="000000" w:sz="8" w:space="0"/>
              <w:right w:val="single" w:color="000000" w:sz="8" w:space="0"/>
            </w:tcBorders>
            <w:shd w:val="clear" w:color="auto" w:fill="auto"/>
            <w:vAlign w:val="center"/>
          </w:tcPr>
          <w:p w14:paraId="10E89FA0">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液晶触摸屏</w:t>
            </w:r>
          </w:p>
        </w:tc>
        <w:tc>
          <w:tcPr>
            <w:tcW w:w="686" w:type="dxa"/>
            <w:tcBorders>
              <w:top w:val="nil"/>
              <w:left w:val="nil"/>
              <w:bottom w:val="single" w:color="000000" w:sz="8" w:space="0"/>
              <w:right w:val="single" w:color="000000" w:sz="8" w:space="0"/>
            </w:tcBorders>
            <w:shd w:val="clear" w:color="auto" w:fill="auto"/>
            <w:vAlign w:val="center"/>
          </w:tcPr>
          <w:p w14:paraId="6D0AB2B9">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至少含复印/打印/扫描</w:t>
            </w:r>
          </w:p>
        </w:tc>
        <w:tc>
          <w:tcPr>
            <w:tcW w:w="480" w:type="dxa"/>
            <w:tcBorders>
              <w:top w:val="nil"/>
              <w:left w:val="nil"/>
              <w:bottom w:val="single" w:color="000000" w:sz="8" w:space="0"/>
              <w:right w:val="single" w:color="000000" w:sz="8" w:space="0"/>
            </w:tcBorders>
            <w:shd w:val="clear" w:color="auto" w:fill="auto"/>
            <w:vAlign w:val="center"/>
          </w:tcPr>
          <w:p w14:paraId="6C9F2A3E">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支持</w:t>
            </w:r>
          </w:p>
        </w:tc>
        <w:tc>
          <w:tcPr>
            <w:tcW w:w="870" w:type="dxa"/>
            <w:tcBorders>
              <w:top w:val="nil"/>
              <w:left w:val="nil"/>
              <w:bottom w:val="single" w:color="000000" w:sz="8" w:space="0"/>
              <w:right w:val="single" w:color="000000" w:sz="8" w:space="0"/>
            </w:tcBorders>
            <w:shd w:val="clear" w:color="auto" w:fill="auto"/>
            <w:vAlign w:val="center"/>
          </w:tcPr>
          <w:p w14:paraId="52C66890">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w:t>
            </w:r>
          </w:p>
        </w:tc>
        <w:tc>
          <w:tcPr>
            <w:tcW w:w="1079" w:type="dxa"/>
            <w:tcBorders>
              <w:top w:val="nil"/>
              <w:left w:val="nil"/>
              <w:bottom w:val="single" w:color="000000" w:sz="8" w:space="0"/>
              <w:right w:val="single" w:color="000000" w:sz="8" w:space="0"/>
            </w:tcBorders>
            <w:shd w:val="clear" w:color="auto" w:fill="auto"/>
            <w:vAlign w:val="center"/>
          </w:tcPr>
          <w:p w14:paraId="68446004">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876" w:type="dxa"/>
            <w:tcBorders>
              <w:top w:val="nil"/>
              <w:left w:val="nil"/>
              <w:bottom w:val="single" w:color="000000" w:sz="8" w:space="0"/>
              <w:right w:val="single" w:color="000000" w:sz="8" w:space="0"/>
            </w:tcBorders>
            <w:shd w:val="clear" w:color="auto" w:fill="auto"/>
            <w:vAlign w:val="center"/>
          </w:tcPr>
          <w:p w14:paraId="6D105385">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由供应商填写产品适配的所有操作系统</w:t>
            </w:r>
          </w:p>
        </w:tc>
        <w:tc>
          <w:tcPr>
            <w:tcW w:w="720" w:type="dxa"/>
            <w:tcBorders>
              <w:top w:val="nil"/>
              <w:left w:val="nil"/>
              <w:bottom w:val="single" w:color="000000" w:sz="8" w:space="0"/>
              <w:right w:val="single" w:color="000000" w:sz="8" w:space="0"/>
            </w:tcBorders>
            <w:shd w:val="clear" w:color="auto" w:fill="auto"/>
            <w:vAlign w:val="center"/>
          </w:tcPr>
          <w:p w14:paraId="200A57BA">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756" w:type="dxa"/>
            <w:tcBorders>
              <w:top w:val="nil"/>
              <w:left w:val="nil"/>
              <w:bottom w:val="single" w:color="000000" w:sz="8" w:space="0"/>
              <w:right w:val="single" w:color="000000" w:sz="8" w:space="0"/>
            </w:tcBorders>
            <w:shd w:val="clear" w:color="auto" w:fill="auto"/>
            <w:vAlign w:val="center"/>
          </w:tcPr>
          <w:p w14:paraId="22A202E5">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≥4GB</w:t>
            </w:r>
          </w:p>
        </w:tc>
        <w:tc>
          <w:tcPr>
            <w:tcW w:w="756" w:type="dxa"/>
            <w:tcBorders>
              <w:top w:val="nil"/>
              <w:left w:val="nil"/>
              <w:bottom w:val="single" w:color="000000" w:sz="8" w:space="0"/>
              <w:right w:val="single" w:color="000000" w:sz="8" w:space="0"/>
            </w:tcBorders>
            <w:shd w:val="clear" w:color="auto" w:fill="auto"/>
            <w:vAlign w:val="center"/>
          </w:tcPr>
          <w:p w14:paraId="6186E7F3">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w:t>
            </w:r>
          </w:p>
        </w:tc>
        <w:tc>
          <w:tcPr>
            <w:tcW w:w="564" w:type="dxa"/>
            <w:tcBorders>
              <w:top w:val="nil"/>
              <w:left w:val="nil"/>
              <w:bottom w:val="single" w:color="000000" w:sz="8" w:space="0"/>
              <w:right w:val="single" w:color="000000" w:sz="8" w:space="0"/>
            </w:tcBorders>
            <w:shd w:val="clear" w:color="auto" w:fill="auto"/>
            <w:vAlign w:val="center"/>
          </w:tcPr>
          <w:p w14:paraId="07851484">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原装工作台</w:t>
            </w:r>
          </w:p>
        </w:tc>
        <w:tc>
          <w:tcPr>
            <w:tcW w:w="792" w:type="dxa"/>
            <w:tcBorders>
              <w:top w:val="nil"/>
              <w:left w:val="nil"/>
              <w:bottom w:val="single" w:color="000000" w:sz="8" w:space="0"/>
              <w:right w:val="single" w:color="000000" w:sz="8" w:space="0"/>
            </w:tcBorders>
            <w:shd w:val="clear" w:color="auto" w:fill="auto"/>
            <w:vAlign w:val="center"/>
          </w:tcPr>
          <w:p w14:paraId="66AD34C9">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35000</w:t>
            </w:r>
          </w:p>
        </w:tc>
      </w:tr>
      <w:tr w14:paraId="5D4F1C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9" w:hRule="atLeast"/>
        </w:trPr>
        <w:tc>
          <w:tcPr>
            <w:tcW w:w="552" w:type="dxa"/>
            <w:tcBorders>
              <w:top w:val="nil"/>
              <w:left w:val="single" w:color="000000" w:sz="8" w:space="0"/>
              <w:bottom w:val="single" w:color="000000" w:sz="8" w:space="0"/>
              <w:right w:val="single" w:color="000000" w:sz="8" w:space="0"/>
            </w:tcBorders>
            <w:shd w:val="clear" w:color="auto" w:fill="auto"/>
            <w:vAlign w:val="center"/>
          </w:tcPr>
          <w:p w14:paraId="1A21AAC3">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14</w:t>
            </w:r>
          </w:p>
        </w:tc>
        <w:tc>
          <w:tcPr>
            <w:tcW w:w="617" w:type="dxa"/>
            <w:tcBorders>
              <w:top w:val="nil"/>
              <w:left w:val="nil"/>
              <w:bottom w:val="single" w:color="000000" w:sz="8" w:space="0"/>
              <w:right w:val="single" w:color="000000" w:sz="8" w:space="0"/>
            </w:tcBorders>
            <w:shd w:val="clear" w:color="auto" w:fill="auto"/>
            <w:vAlign w:val="center"/>
          </w:tcPr>
          <w:p w14:paraId="451990A6">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激光</w:t>
            </w:r>
          </w:p>
        </w:tc>
        <w:tc>
          <w:tcPr>
            <w:tcW w:w="511" w:type="dxa"/>
            <w:tcBorders>
              <w:top w:val="nil"/>
              <w:left w:val="nil"/>
              <w:bottom w:val="single" w:color="000000" w:sz="8" w:space="0"/>
              <w:right w:val="single" w:color="000000" w:sz="8" w:space="0"/>
            </w:tcBorders>
            <w:shd w:val="clear" w:color="auto" w:fill="auto"/>
            <w:vAlign w:val="center"/>
          </w:tcPr>
          <w:p w14:paraId="6D0FA2FA">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彩色</w:t>
            </w:r>
          </w:p>
        </w:tc>
        <w:tc>
          <w:tcPr>
            <w:tcW w:w="624" w:type="dxa"/>
            <w:tcBorders>
              <w:top w:val="nil"/>
              <w:left w:val="nil"/>
              <w:bottom w:val="single" w:color="000000" w:sz="8" w:space="0"/>
              <w:right w:val="single" w:color="000000" w:sz="8" w:space="0"/>
            </w:tcBorders>
            <w:shd w:val="clear" w:color="auto" w:fill="auto"/>
            <w:vAlign w:val="center"/>
          </w:tcPr>
          <w:p w14:paraId="0F45D28F">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A3</w:t>
            </w:r>
          </w:p>
        </w:tc>
        <w:tc>
          <w:tcPr>
            <w:tcW w:w="756" w:type="dxa"/>
            <w:tcBorders>
              <w:top w:val="nil"/>
              <w:left w:val="nil"/>
              <w:bottom w:val="single" w:color="000000" w:sz="8" w:space="0"/>
              <w:right w:val="single" w:color="000000" w:sz="8" w:space="0"/>
            </w:tcBorders>
            <w:shd w:val="clear" w:color="auto" w:fill="auto"/>
            <w:vAlign w:val="center"/>
          </w:tcPr>
          <w:p w14:paraId="1EE3F368">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支持</w:t>
            </w:r>
          </w:p>
        </w:tc>
        <w:tc>
          <w:tcPr>
            <w:tcW w:w="792" w:type="dxa"/>
            <w:tcBorders>
              <w:top w:val="nil"/>
              <w:left w:val="nil"/>
              <w:bottom w:val="single" w:color="000000" w:sz="8" w:space="0"/>
              <w:right w:val="single" w:color="000000" w:sz="8" w:space="0"/>
            </w:tcBorders>
            <w:shd w:val="clear" w:color="auto" w:fill="auto"/>
            <w:vAlign w:val="center"/>
          </w:tcPr>
          <w:p w14:paraId="668350A1">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≥35</w:t>
            </w:r>
          </w:p>
        </w:tc>
        <w:tc>
          <w:tcPr>
            <w:tcW w:w="835" w:type="dxa"/>
            <w:tcBorders>
              <w:top w:val="nil"/>
              <w:left w:val="nil"/>
              <w:bottom w:val="single" w:color="000000" w:sz="8" w:space="0"/>
              <w:right w:val="single" w:color="000000" w:sz="8" w:space="0"/>
            </w:tcBorders>
            <w:shd w:val="clear" w:color="auto" w:fill="auto"/>
            <w:vAlign w:val="center"/>
          </w:tcPr>
          <w:p w14:paraId="7E6D77C1">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≥50</w:t>
            </w:r>
          </w:p>
        </w:tc>
        <w:tc>
          <w:tcPr>
            <w:tcW w:w="974" w:type="dxa"/>
            <w:tcBorders>
              <w:top w:val="nil"/>
              <w:left w:val="nil"/>
              <w:bottom w:val="single" w:color="000000" w:sz="8" w:space="0"/>
              <w:right w:val="single" w:color="000000" w:sz="8" w:space="0"/>
            </w:tcBorders>
            <w:shd w:val="clear" w:color="auto" w:fill="auto"/>
            <w:vAlign w:val="center"/>
          </w:tcPr>
          <w:p w14:paraId="3FB29D14">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≥500</w:t>
            </w:r>
          </w:p>
        </w:tc>
        <w:tc>
          <w:tcPr>
            <w:tcW w:w="721" w:type="dxa"/>
            <w:tcBorders>
              <w:top w:val="nil"/>
              <w:left w:val="nil"/>
              <w:bottom w:val="single" w:color="000000" w:sz="8" w:space="0"/>
              <w:right w:val="single" w:color="000000" w:sz="8" w:space="0"/>
            </w:tcBorders>
            <w:shd w:val="clear" w:color="auto" w:fill="auto"/>
            <w:vAlign w:val="center"/>
          </w:tcPr>
          <w:p w14:paraId="0C5E6082">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703" w:type="dxa"/>
            <w:tcBorders>
              <w:top w:val="nil"/>
              <w:left w:val="nil"/>
              <w:bottom w:val="single" w:color="000000" w:sz="8" w:space="0"/>
              <w:right w:val="single" w:color="000000" w:sz="8" w:space="0"/>
            </w:tcBorders>
            <w:shd w:val="clear" w:color="auto" w:fill="auto"/>
            <w:vAlign w:val="center"/>
          </w:tcPr>
          <w:p w14:paraId="3B0C478D">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液晶触摸屏</w:t>
            </w:r>
          </w:p>
        </w:tc>
        <w:tc>
          <w:tcPr>
            <w:tcW w:w="686" w:type="dxa"/>
            <w:tcBorders>
              <w:top w:val="nil"/>
              <w:left w:val="nil"/>
              <w:bottom w:val="single" w:color="000000" w:sz="8" w:space="0"/>
              <w:right w:val="single" w:color="000000" w:sz="8" w:space="0"/>
            </w:tcBorders>
            <w:shd w:val="clear" w:color="auto" w:fill="auto"/>
            <w:vAlign w:val="center"/>
          </w:tcPr>
          <w:p w14:paraId="75C813BF">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至少含复印/打印/扫描</w:t>
            </w:r>
          </w:p>
        </w:tc>
        <w:tc>
          <w:tcPr>
            <w:tcW w:w="480" w:type="dxa"/>
            <w:tcBorders>
              <w:top w:val="nil"/>
              <w:left w:val="nil"/>
              <w:bottom w:val="single" w:color="000000" w:sz="8" w:space="0"/>
              <w:right w:val="single" w:color="000000" w:sz="8" w:space="0"/>
            </w:tcBorders>
            <w:shd w:val="clear" w:color="auto" w:fill="auto"/>
            <w:vAlign w:val="center"/>
          </w:tcPr>
          <w:p w14:paraId="1B7F8964">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支持</w:t>
            </w:r>
          </w:p>
        </w:tc>
        <w:tc>
          <w:tcPr>
            <w:tcW w:w="870" w:type="dxa"/>
            <w:tcBorders>
              <w:top w:val="nil"/>
              <w:left w:val="nil"/>
              <w:bottom w:val="single" w:color="000000" w:sz="8" w:space="0"/>
              <w:right w:val="single" w:color="000000" w:sz="8" w:space="0"/>
            </w:tcBorders>
            <w:shd w:val="clear" w:color="auto" w:fill="auto"/>
            <w:vAlign w:val="center"/>
          </w:tcPr>
          <w:p w14:paraId="0C56CC77">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w:t>
            </w:r>
          </w:p>
        </w:tc>
        <w:tc>
          <w:tcPr>
            <w:tcW w:w="1079" w:type="dxa"/>
            <w:tcBorders>
              <w:top w:val="nil"/>
              <w:left w:val="nil"/>
              <w:bottom w:val="single" w:color="000000" w:sz="8" w:space="0"/>
              <w:right w:val="single" w:color="000000" w:sz="8" w:space="0"/>
            </w:tcBorders>
            <w:shd w:val="clear" w:color="auto" w:fill="auto"/>
            <w:vAlign w:val="center"/>
          </w:tcPr>
          <w:p w14:paraId="015533E0">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876" w:type="dxa"/>
            <w:tcBorders>
              <w:top w:val="nil"/>
              <w:left w:val="nil"/>
              <w:bottom w:val="single" w:color="000000" w:sz="8" w:space="0"/>
              <w:right w:val="single" w:color="000000" w:sz="8" w:space="0"/>
            </w:tcBorders>
            <w:shd w:val="clear" w:color="auto" w:fill="auto"/>
            <w:vAlign w:val="center"/>
          </w:tcPr>
          <w:p w14:paraId="35DAEF7C">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由供应商填写产品适配的所有操作系统</w:t>
            </w:r>
          </w:p>
        </w:tc>
        <w:tc>
          <w:tcPr>
            <w:tcW w:w="720" w:type="dxa"/>
            <w:tcBorders>
              <w:top w:val="nil"/>
              <w:left w:val="nil"/>
              <w:bottom w:val="single" w:color="000000" w:sz="8" w:space="0"/>
              <w:right w:val="single" w:color="000000" w:sz="8" w:space="0"/>
            </w:tcBorders>
            <w:shd w:val="clear" w:color="auto" w:fill="auto"/>
            <w:vAlign w:val="center"/>
          </w:tcPr>
          <w:p w14:paraId="5CDC4F28">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756" w:type="dxa"/>
            <w:tcBorders>
              <w:top w:val="nil"/>
              <w:left w:val="nil"/>
              <w:bottom w:val="single" w:color="000000" w:sz="8" w:space="0"/>
              <w:right w:val="single" w:color="000000" w:sz="8" w:space="0"/>
            </w:tcBorders>
            <w:shd w:val="clear" w:color="auto" w:fill="auto"/>
            <w:vAlign w:val="center"/>
          </w:tcPr>
          <w:p w14:paraId="1B59CE7C">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≥4GB</w:t>
            </w:r>
          </w:p>
        </w:tc>
        <w:tc>
          <w:tcPr>
            <w:tcW w:w="756" w:type="dxa"/>
            <w:tcBorders>
              <w:top w:val="nil"/>
              <w:left w:val="nil"/>
              <w:bottom w:val="single" w:color="000000" w:sz="8" w:space="0"/>
              <w:right w:val="single" w:color="000000" w:sz="8" w:space="0"/>
            </w:tcBorders>
            <w:shd w:val="clear" w:color="auto" w:fill="auto"/>
            <w:vAlign w:val="center"/>
          </w:tcPr>
          <w:p w14:paraId="2712FA13">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w:t>
            </w:r>
          </w:p>
        </w:tc>
        <w:tc>
          <w:tcPr>
            <w:tcW w:w="564" w:type="dxa"/>
            <w:tcBorders>
              <w:top w:val="nil"/>
              <w:left w:val="nil"/>
              <w:bottom w:val="single" w:color="000000" w:sz="8" w:space="0"/>
              <w:right w:val="single" w:color="000000" w:sz="8" w:space="0"/>
            </w:tcBorders>
            <w:shd w:val="clear" w:color="auto" w:fill="auto"/>
            <w:vAlign w:val="center"/>
          </w:tcPr>
          <w:p w14:paraId="290B4B31">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原装工作台</w:t>
            </w:r>
          </w:p>
        </w:tc>
        <w:tc>
          <w:tcPr>
            <w:tcW w:w="792" w:type="dxa"/>
            <w:tcBorders>
              <w:top w:val="nil"/>
              <w:left w:val="nil"/>
              <w:bottom w:val="single" w:color="000000" w:sz="8" w:space="0"/>
              <w:right w:val="single" w:color="000000" w:sz="8" w:space="0"/>
            </w:tcBorders>
            <w:shd w:val="clear" w:color="auto" w:fill="auto"/>
            <w:vAlign w:val="center"/>
          </w:tcPr>
          <w:p w14:paraId="0A08D96A">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45000</w:t>
            </w:r>
          </w:p>
        </w:tc>
      </w:tr>
      <w:tr w14:paraId="56FA10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9" w:hRule="atLeast"/>
        </w:trPr>
        <w:tc>
          <w:tcPr>
            <w:tcW w:w="552" w:type="dxa"/>
            <w:tcBorders>
              <w:top w:val="nil"/>
              <w:left w:val="single" w:color="000000" w:sz="8" w:space="0"/>
              <w:bottom w:val="single" w:color="000000" w:sz="8" w:space="0"/>
              <w:right w:val="single" w:color="000000" w:sz="8" w:space="0"/>
            </w:tcBorders>
            <w:shd w:val="clear" w:color="auto" w:fill="auto"/>
            <w:vAlign w:val="center"/>
          </w:tcPr>
          <w:p w14:paraId="46ADB846">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15</w:t>
            </w:r>
          </w:p>
        </w:tc>
        <w:tc>
          <w:tcPr>
            <w:tcW w:w="617" w:type="dxa"/>
            <w:tcBorders>
              <w:top w:val="nil"/>
              <w:left w:val="nil"/>
              <w:bottom w:val="single" w:color="000000" w:sz="8" w:space="0"/>
              <w:right w:val="single" w:color="000000" w:sz="8" w:space="0"/>
            </w:tcBorders>
            <w:shd w:val="clear" w:color="auto" w:fill="auto"/>
            <w:vAlign w:val="center"/>
          </w:tcPr>
          <w:p w14:paraId="02B5367D">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激光</w:t>
            </w:r>
          </w:p>
        </w:tc>
        <w:tc>
          <w:tcPr>
            <w:tcW w:w="511" w:type="dxa"/>
            <w:tcBorders>
              <w:top w:val="nil"/>
              <w:left w:val="nil"/>
              <w:bottom w:val="single" w:color="000000" w:sz="8" w:space="0"/>
              <w:right w:val="single" w:color="000000" w:sz="8" w:space="0"/>
            </w:tcBorders>
            <w:shd w:val="clear" w:color="auto" w:fill="auto"/>
            <w:vAlign w:val="center"/>
          </w:tcPr>
          <w:p w14:paraId="64C33B98">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彩色</w:t>
            </w:r>
          </w:p>
        </w:tc>
        <w:tc>
          <w:tcPr>
            <w:tcW w:w="624" w:type="dxa"/>
            <w:tcBorders>
              <w:top w:val="nil"/>
              <w:left w:val="nil"/>
              <w:bottom w:val="single" w:color="000000" w:sz="8" w:space="0"/>
              <w:right w:val="single" w:color="000000" w:sz="8" w:space="0"/>
            </w:tcBorders>
            <w:shd w:val="clear" w:color="auto" w:fill="auto"/>
            <w:vAlign w:val="center"/>
          </w:tcPr>
          <w:p w14:paraId="0AD60904">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A3</w:t>
            </w:r>
          </w:p>
        </w:tc>
        <w:tc>
          <w:tcPr>
            <w:tcW w:w="756" w:type="dxa"/>
            <w:tcBorders>
              <w:top w:val="nil"/>
              <w:left w:val="nil"/>
              <w:bottom w:val="single" w:color="000000" w:sz="8" w:space="0"/>
              <w:right w:val="single" w:color="000000" w:sz="8" w:space="0"/>
            </w:tcBorders>
            <w:shd w:val="clear" w:color="auto" w:fill="auto"/>
            <w:vAlign w:val="center"/>
          </w:tcPr>
          <w:p w14:paraId="534B816D">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支持</w:t>
            </w:r>
          </w:p>
        </w:tc>
        <w:tc>
          <w:tcPr>
            <w:tcW w:w="792" w:type="dxa"/>
            <w:tcBorders>
              <w:top w:val="nil"/>
              <w:left w:val="nil"/>
              <w:bottom w:val="single" w:color="000000" w:sz="8" w:space="0"/>
              <w:right w:val="single" w:color="000000" w:sz="8" w:space="0"/>
            </w:tcBorders>
            <w:shd w:val="clear" w:color="auto" w:fill="auto"/>
            <w:vAlign w:val="center"/>
          </w:tcPr>
          <w:p w14:paraId="378251E7">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≥40</w:t>
            </w:r>
          </w:p>
        </w:tc>
        <w:tc>
          <w:tcPr>
            <w:tcW w:w="835" w:type="dxa"/>
            <w:tcBorders>
              <w:top w:val="nil"/>
              <w:left w:val="nil"/>
              <w:bottom w:val="single" w:color="000000" w:sz="8" w:space="0"/>
              <w:right w:val="single" w:color="000000" w:sz="8" w:space="0"/>
            </w:tcBorders>
            <w:shd w:val="clear" w:color="auto" w:fill="auto"/>
            <w:vAlign w:val="center"/>
          </w:tcPr>
          <w:p w14:paraId="18A5CDA8">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≥50</w:t>
            </w:r>
          </w:p>
        </w:tc>
        <w:tc>
          <w:tcPr>
            <w:tcW w:w="974" w:type="dxa"/>
            <w:tcBorders>
              <w:top w:val="nil"/>
              <w:left w:val="nil"/>
              <w:bottom w:val="single" w:color="000000" w:sz="8" w:space="0"/>
              <w:right w:val="single" w:color="000000" w:sz="8" w:space="0"/>
            </w:tcBorders>
            <w:shd w:val="clear" w:color="auto" w:fill="auto"/>
            <w:vAlign w:val="center"/>
          </w:tcPr>
          <w:p w14:paraId="70C9D82B">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≥500</w:t>
            </w:r>
          </w:p>
        </w:tc>
        <w:tc>
          <w:tcPr>
            <w:tcW w:w="721" w:type="dxa"/>
            <w:tcBorders>
              <w:top w:val="nil"/>
              <w:left w:val="nil"/>
              <w:bottom w:val="single" w:color="000000" w:sz="8" w:space="0"/>
              <w:right w:val="single" w:color="000000" w:sz="8" w:space="0"/>
            </w:tcBorders>
            <w:shd w:val="clear" w:color="auto" w:fill="auto"/>
            <w:vAlign w:val="center"/>
          </w:tcPr>
          <w:p w14:paraId="5E8EFE68">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703" w:type="dxa"/>
            <w:tcBorders>
              <w:top w:val="nil"/>
              <w:left w:val="nil"/>
              <w:bottom w:val="single" w:color="000000" w:sz="8" w:space="0"/>
              <w:right w:val="single" w:color="000000" w:sz="8" w:space="0"/>
            </w:tcBorders>
            <w:shd w:val="clear" w:color="auto" w:fill="auto"/>
            <w:vAlign w:val="center"/>
          </w:tcPr>
          <w:p w14:paraId="3238CD42">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液晶触摸屏</w:t>
            </w:r>
          </w:p>
        </w:tc>
        <w:tc>
          <w:tcPr>
            <w:tcW w:w="686" w:type="dxa"/>
            <w:tcBorders>
              <w:top w:val="nil"/>
              <w:left w:val="nil"/>
              <w:bottom w:val="single" w:color="000000" w:sz="8" w:space="0"/>
              <w:right w:val="single" w:color="000000" w:sz="8" w:space="0"/>
            </w:tcBorders>
            <w:shd w:val="clear" w:color="auto" w:fill="auto"/>
            <w:vAlign w:val="center"/>
          </w:tcPr>
          <w:p w14:paraId="234BD70F">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至少含复印/打印/扫描</w:t>
            </w:r>
          </w:p>
        </w:tc>
        <w:tc>
          <w:tcPr>
            <w:tcW w:w="480" w:type="dxa"/>
            <w:tcBorders>
              <w:top w:val="nil"/>
              <w:left w:val="nil"/>
              <w:bottom w:val="single" w:color="000000" w:sz="8" w:space="0"/>
              <w:right w:val="single" w:color="000000" w:sz="8" w:space="0"/>
            </w:tcBorders>
            <w:shd w:val="clear" w:color="auto" w:fill="auto"/>
            <w:vAlign w:val="center"/>
          </w:tcPr>
          <w:p w14:paraId="145BB7B4">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支持</w:t>
            </w:r>
          </w:p>
        </w:tc>
        <w:tc>
          <w:tcPr>
            <w:tcW w:w="870" w:type="dxa"/>
            <w:tcBorders>
              <w:top w:val="nil"/>
              <w:left w:val="nil"/>
              <w:bottom w:val="single" w:color="000000" w:sz="8" w:space="0"/>
              <w:right w:val="single" w:color="000000" w:sz="8" w:space="0"/>
            </w:tcBorders>
            <w:shd w:val="clear" w:color="auto" w:fill="auto"/>
            <w:vAlign w:val="center"/>
          </w:tcPr>
          <w:p w14:paraId="49ABFC69">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w:t>
            </w:r>
          </w:p>
        </w:tc>
        <w:tc>
          <w:tcPr>
            <w:tcW w:w="1079" w:type="dxa"/>
            <w:tcBorders>
              <w:top w:val="nil"/>
              <w:left w:val="nil"/>
              <w:bottom w:val="single" w:color="000000" w:sz="8" w:space="0"/>
              <w:right w:val="single" w:color="000000" w:sz="8" w:space="0"/>
            </w:tcBorders>
            <w:shd w:val="clear" w:color="auto" w:fill="auto"/>
            <w:vAlign w:val="center"/>
          </w:tcPr>
          <w:p w14:paraId="6C89AC82">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876" w:type="dxa"/>
            <w:tcBorders>
              <w:top w:val="nil"/>
              <w:left w:val="nil"/>
              <w:bottom w:val="single" w:color="000000" w:sz="8" w:space="0"/>
              <w:right w:val="single" w:color="000000" w:sz="8" w:space="0"/>
            </w:tcBorders>
            <w:shd w:val="clear" w:color="auto" w:fill="auto"/>
            <w:vAlign w:val="center"/>
          </w:tcPr>
          <w:p w14:paraId="5D9EAE5C">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由供应商填写产品适配的所有操作系统</w:t>
            </w:r>
          </w:p>
        </w:tc>
        <w:tc>
          <w:tcPr>
            <w:tcW w:w="720" w:type="dxa"/>
            <w:tcBorders>
              <w:top w:val="nil"/>
              <w:left w:val="nil"/>
              <w:bottom w:val="single" w:color="000000" w:sz="8" w:space="0"/>
              <w:right w:val="single" w:color="000000" w:sz="8" w:space="0"/>
            </w:tcBorders>
            <w:shd w:val="clear" w:color="auto" w:fill="auto"/>
            <w:vAlign w:val="center"/>
          </w:tcPr>
          <w:p w14:paraId="10319F78">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756" w:type="dxa"/>
            <w:tcBorders>
              <w:top w:val="nil"/>
              <w:left w:val="nil"/>
              <w:bottom w:val="single" w:color="000000" w:sz="8" w:space="0"/>
              <w:right w:val="single" w:color="000000" w:sz="8" w:space="0"/>
            </w:tcBorders>
            <w:shd w:val="clear" w:color="auto" w:fill="auto"/>
            <w:vAlign w:val="center"/>
          </w:tcPr>
          <w:p w14:paraId="16FFCCD9">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≥4GB</w:t>
            </w:r>
          </w:p>
        </w:tc>
        <w:tc>
          <w:tcPr>
            <w:tcW w:w="756" w:type="dxa"/>
            <w:tcBorders>
              <w:top w:val="nil"/>
              <w:left w:val="nil"/>
              <w:bottom w:val="single" w:color="000000" w:sz="8" w:space="0"/>
              <w:right w:val="single" w:color="000000" w:sz="8" w:space="0"/>
            </w:tcBorders>
            <w:shd w:val="clear" w:color="auto" w:fill="auto"/>
            <w:vAlign w:val="center"/>
          </w:tcPr>
          <w:p w14:paraId="0514E621">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w:t>
            </w:r>
          </w:p>
        </w:tc>
        <w:tc>
          <w:tcPr>
            <w:tcW w:w="564" w:type="dxa"/>
            <w:tcBorders>
              <w:top w:val="nil"/>
              <w:left w:val="nil"/>
              <w:bottom w:val="single" w:color="000000" w:sz="8" w:space="0"/>
              <w:right w:val="single" w:color="000000" w:sz="8" w:space="0"/>
            </w:tcBorders>
            <w:shd w:val="clear" w:color="auto" w:fill="auto"/>
            <w:vAlign w:val="center"/>
          </w:tcPr>
          <w:p w14:paraId="0A38FE81">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原装工作台</w:t>
            </w:r>
          </w:p>
        </w:tc>
        <w:tc>
          <w:tcPr>
            <w:tcW w:w="792" w:type="dxa"/>
            <w:tcBorders>
              <w:top w:val="nil"/>
              <w:left w:val="nil"/>
              <w:bottom w:val="single" w:color="000000" w:sz="8" w:space="0"/>
              <w:right w:val="single" w:color="000000" w:sz="8" w:space="0"/>
            </w:tcBorders>
            <w:shd w:val="clear" w:color="auto" w:fill="auto"/>
            <w:vAlign w:val="center"/>
          </w:tcPr>
          <w:p w14:paraId="12ACB489">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50000</w:t>
            </w:r>
          </w:p>
        </w:tc>
      </w:tr>
      <w:tr w14:paraId="38AD8F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9" w:hRule="atLeast"/>
        </w:trPr>
        <w:tc>
          <w:tcPr>
            <w:tcW w:w="552" w:type="dxa"/>
            <w:tcBorders>
              <w:top w:val="nil"/>
              <w:left w:val="single" w:color="000000" w:sz="8" w:space="0"/>
              <w:bottom w:val="single" w:color="000000" w:sz="8" w:space="0"/>
              <w:right w:val="single" w:color="000000" w:sz="8" w:space="0"/>
            </w:tcBorders>
            <w:shd w:val="clear" w:color="auto" w:fill="auto"/>
            <w:vAlign w:val="center"/>
          </w:tcPr>
          <w:p w14:paraId="1045B094">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16</w:t>
            </w:r>
          </w:p>
        </w:tc>
        <w:tc>
          <w:tcPr>
            <w:tcW w:w="617" w:type="dxa"/>
            <w:tcBorders>
              <w:top w:val="nil"/>
              <w:left w:val="nil"/>
              <w:bottom w:val="single" w:color="000000" w:sz="8" w:space="0"/>
              <w:right w:val="single" w:color="000000" w:sz="8" w:space="0"/>
            </w:tcBorders>
            <w:shd w:val="clear" w:color="auto" w:fill="auto"/>
            <w:vAlign w:val="center"/>
          </w:tcPr>
          <w:p w14:paraId="15C7E7D2">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激光</w:t>
            </w:r>
          </w:p>
        </w:tc>
        <w:tc>
          <w:tcPr>
            <w:tcW w:w="511" w:type="dxa"/>
            <w:tcBorders>
              <w:top w:val="nil"/>
              <w:left w:val="nil"/>
              <w:bottom w:val="single" w:color="000000" w:sz="8" w:space="0"/>
              <w:right w:val="single" w:color="000000" w:sz="8" w:space="0"/>
            </w:tcBorders>
            <w:shd w:val="clear" w:color="auto" w:fill="auto"/>
            <w:vAlign w:val="center"/>
          </w:tcPr>
          <w:p w14:paraId="4A16E744">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彩色</w:t>
            </w:r>
          </w:p>
        </w:tc>
        <w:tc>
          <w:tcPr>
            <w:tcW w:w="624" w:type="dxa"/>
            <w:tcBorders>
              <w:top w:val="nil"/>
              <w:left w:val="nil"/>
              <w:bottom w:val="single" w:color="000000" w:sz="8" w:space="0"/>
              <w:right w:val="single" w:color="000000" w:sz="8" w:space="0"/>
            </w:tcBorders>
            <w:shd w:val="clear" w:color="auto" w:fill="auto"/>
            <w:vAlign w:val="center"/>
          </w:tcPr>
          <w:p w14:paraId="2F79B4EE">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A3</w:t>
            </w:r>
          </w:p>
        </w:tc>
        <w:tc>
          <w:tcPr>
            <w:tcW w:w="756" w:type="dxa"/>
            <w:tcBorders>
              <w:top w:val="nil"/>
              <w:left w:val="nil"/>
              <w:bottom w:val="single" w:color="000000" w:sz="8" w:space="0"/>
              <w:right w:val="single" w:color="000000" w:sz="8" w:space="0"/>
            </w:tcBorders>
            <w:shd w:val="clear" w:color="auto" w:fill="auto"/>
            <w:vAlign w:val="center"/>
          </w:tcPr>
          <w:p w14:paraId="42A0B683">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支持</w:t>
            </w:r>
          </w:p>
        </w:tc>
        <w:tc>
          <w:tcPr>
            <w:tcW w:w="792" w:type="dxa"/>
            <w:tcBorders>
              <w:top w:val="nil"/>
              <w:left w:val="nil"/>
              <w:bottom w:val="single" w:color="000000" w:sz="8" w:space="0"/>
              <w:right w:val="single" w:color="000000" w:sz="8" w:space="0"/>
            </w:tcBorders>
            <w:shd w:val="clear" w:color="auto" w:fill="auto"/>
            <w:vAlign w:val="center"/>
          </w:tcPr>
          <w:p w14:paraId="590B4E78">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≥50</w:t>
            </w:r>
          </w:p>
        </w:tc>
        <w:tc>
          <w:tcPr>
            <w:tcW w:w="835" w:type="dxa"/>
            <w:tcBorders>
              <w:top w:val="nil"/>
              <w:left w:val="nil"/>
              <w:bottom w:val="single" w:color="000000" w:sz="8" w:space="0"/>
              <w:right w:val="single" w:color="000000" w:sz="8" w:space="0"/>
            </w:tcBorders>
            <w:shd w:val="clear" w:color="auto" w:fill="auto"/>
            <w:vAlign w:val="center"/>
          </w:tcPr>
          <w:p w14:paraId="6041F49F">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≥50</w:t>
            </w:r>
          </w:p>
        </w:tc>
        <w:tc>
          <w:tcPr>
            <w:tcW w:w="974" w:type="dxa"/>
            <w:tcBorders>
              <w:top w:val="nil"/>
              <w:left w:val="nil"/>
              <w:bottom w:val="single" w:color="000000" w:sz="8" w:space="0"/>
              <w:right w:val="single" w:color="000000" w:sz="8" w:space="0"/>
            </w:tcBorders>
            <w:shd w:val="clear" w:color="auto" w:fill="auto"/>
            <w:vAlign w:val="center"/>
          </w:tcPr>
          <w:p w14:paraId="44B515E9">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≥500</w:t>
            </w:r>
          </w:p>
        </w:tc>
        <w:tc>
          <w:tcPr>
            <w:tcW w:w="721" w:type="dxa"/>
            <w:tcBorders>
              <w:top w:val="nil"/>
              <w:left w:val="nil"/>
              <w:bottom w:val="single" w:color="000000" w:sz="8" w:space="0"/>
              <w:right w:val="single" w:color="000000" w:sz="8" w:space="0"/>
            </w:tcBorders>
            <w:shd w:val="clear" w:color="auto" w:fill="auto"/>
            <w:vAlign w:val="center"/>
          </w:tcPr>
          <w:p w14:paraId="1985A77D">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703" w:type="dxa"/>
            <w:tcBorders>
              <w:top w:val="nil"/>
              <w:left w:val="nil"/>
              <w:bottom w:val="single" w:color="000000" w:sz="8" w:space="0"/>
              <w:right w:val="single" w:color="000000" w:sz="8" w:space="0"/>
            </w:tcBorders>
            <w:shd w:val="clear" w:color="auto" w:fill="auto"/>
            <w:vAlign w:val="center"/>
          </w:tcPr>
          <w:p w14:paraId="1A5FED1B">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液晶触摸屏</w:t>
            </w:r>
          </w:p>
        </w:tc>
        <w:tc>
          <w:tcPr>
            <w:tcW w:w="686" w:type="dxa"/>
            <w:tcBorders>
              <w:top w:val="nil"/>
              <w:left w:val="nil"/>
              <w:bottom w:val="single" w:color="000000" w:sz="8" w:space="0"/>
              <w:right w:val="single" w:color="000000" w:sz="8" w:space="0"/>
            </w:tcBorders>
            <w:shd w:val="clear" w:color="auto" w:fill="auto"/>
            <w:vAlign w:val="center"/>
          </w:tcPr>
          <w:p w14:paraId="797548F5">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至少含复印/打印/扫描</w:t>
            </w:r>
          </w:p>
        </w:tc>
        <w:tc>
          <w:tcPr>
            <w:tcW w:w="480" w:type="dxa"/>
            <w:tcBorders>
              <w:top w:val="nil"/>
              <w:left w:val="nil"/>
              <w:bottom w:val="single" w:color="000000" w:sz="8" w:space="0"/>
              <w:right w:val="single" w:color="000000" w:sz="8" w:space="0"/>
            </w:tcBorders>
            <w:shd w:val="clear" w:color="auto" w:fill="auto"/>
            <w:vAlign w:val="center"/>
          </w:tcPr>
          <w:p w14:paraId="49A017A4">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支持</w:t>
            </w:r>
          </w:p>
        </w:tc>
        <w:tc>
          <w:tcPr>
            <w:tcW w:w="870" w:type="dxa"/>
            <w:tcBorders>
              <w:top w:val="nil"/>
              <w:left w:val="nil"/>
              <w:bottom w:val="single" w:color="000000" w:sz="8" w:space="0"/>
              <w:right w:val="single" w:color="000000" w:sz="8" w:space="0"/>
            </w:tcBorders>
            <w:shd w:val="clear" w:color="auto" w:fill="auto"/>
            <w:vAlign w:val="center"/>
          </w:tcPr>
          <w:p w14:paraId="65BC4A4D">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w:t>
            </w:r>
          </w:p>
        </w:tc>
        <w:tc>
          <w:tcPr>
            <w:tcW w:w="1079" w:type="dxa"/>
            <w:tcBorders>
              <w:top w:val="nil"/>
              <w:left w:val="nil"/>
              <w:bottom w:val="single" w:color="000000" w:sz="8" w:space="0"/>
              <w:right w:val="single" w:color="000000" w:sz="8" w:space="0"/>
            </w:tcBorders>
            <w:shd w:val="clear" w:color="auto" w:fill="auto"/>
            <w:vAlign w:val="center"/>
          </w:tcPr>
          <w:p w14:paraId="4CBE4D32">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876" w:type="dxa"/>
            <w:tcBorders>
              <w:top w:val="nil"/>
              <w:left w:val="nil"/>
              <w:bottom w:val="single" w:color="000000" w:sz="8" w:space="0"/>
              <w:right w:val="single" w:color="000000" w:sz="8" w:space="0"/>
            </w:tcBorders>
            <w:shd w:val="clear" w:color="auto" w:fill="auto"/>
            <w:vAlign w:val="center"/>
          </w:tcPr>
          <w:p w14:paraId="5490C278">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由供应商填写产品适配的所有操作系统</w:t>
            </w:r>
          </w:p>
        </w:tc>
        <w:tc>
          <w:tcPr>
            <w:tcW w:w="720" w:type="dxa"/>
            <w:tcBorders>
              <w:top w:val="nil"/>
              <w:left w:val="nil"/>
              <w:bottom w:val="single" w:color="000000" w:sz="8" w:space="0"/>
              <w:right w:val="single" w:color="000000" w:sz="8" w:space="0"/>
            </w:tcBorders>
            <w:shd w:val="clear" w:color="auto" w:fill="auto"/>
            <w:vAlign w:val="center"/>
          </w:tcPr>
          <w:p w14:paraId="2D3E8FA1">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756" w:type="dxa"/>
            <w:tcBorders>
              <w:top w:val="nil"/>
              <w:left w:val="nil"/>
              <w:bottom w:val="single" w:color="000000" w:sz="8" w:space="0"/>
              <w:right w:val="single" w:color="000000" w:sz="8" w:space="0"/>
            </w:tcBorders>
            <w:shd w:val="clear" w:color="auto" w:fill="auto"/>
            <w:vAlign w:val="center"/>
          </w:tcPr>
          <w:p w14:paraId="0D4DF90F">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≥4GB</w:t>
            </w:r>
          </w:p>
        </w:tc>
        <w:tc>
          <w:tcPr>
            <w:tcW w:w="756" w:type="dxa"/>
            <w:tcBorders>
              <w:top w:val="nil"/>
              <w:left w:val="nil"/>
              <w:bottom w:val="single" w:color="000000" w:sz="8" w:space="0"/>
              <w:right w:val="single" w:color="000000" w:sz="8" w:space="0"/>
            </w:tcBorders>
            <w:shd w:val="clear" w:color="auto" w:fill="auto"/>
            <w:vAlign w:val="center"/>
          </w:tcPr>
          <w:p w14:paraId="74D99681">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w:t>
            </w:r>
          </w:p>
        </w:tc>
        <w:tc>
          <w:tcPr>
            <w:tcW w:w="564" w:type="dxa"/>
            <w:tcBorders>
              <w:top w:val="nil"/>
              <w:left w:val="nil"/>
              <w:bottom w:val="single" w:color="000000" w:sz="8" w:space="0"/>
              <w:right w:val="single" w:color="000000" w:sz="8" w:space="0"/>
            </w:tcBorders>
            <w:shd w:val="clear" w:color="auto" w:fill="auto"/>
            <w:vAlign w:val="center"/>
          </w:tcPr>
          <w:p w14:paraId="1BF9D3D4">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原装工作台</w:t>
            </w:r>
          </w:p>
        </w:tc>
        <w:tc>
          <w:tcPr>
            <w:tcW w:w="792" w:type="dxa"/>
            <w:tcBorders>
              <w:top w:val="nil"/>
              <w:left w:val="nil"/>
              <w:bottom w:val="single" w:color="000000" w:sz="8" w:space="0"/>
              <w:right w:val="single" w:color="000000" w:sz="8" w:space="0"/>
            </w:tcBorders>
            <w:shd w:val="clear" w:color="auto" w:fill="auto"/>
            <w:vAlign w:val="center"/>
          </w:tcPr>
          <w:p w14:paraId="2404414C">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65000</w:t>
            </w:r>
          </w:p>
        </w:tc>
      </w:tr>
    </w:tbl>
    <w:p w14:paraId="4699557C">
      <w:pPr>
        <w:pStyle w:val="11"/>
        <w:ind w:firstLine="853" w:firstLineChars="427"/>
        <w:jc w:val="left"/>
        <w:rPr>
          <w:rFonts w:hint="eastAsia" w:ascii="仿宋_GB2312" w:hAnsi="仿宋_GB2312" w:eastAsia="仿宋_GB2312" w:cs="仿宋_GB2312"/>
          <w:lang w:val="en-US" w:eastAsia="zh-CN"/>
        </w:rPr>
      </w:pPr>
    </w:p>
    <w:p w14:paraId="6B88058F">
      <w:pPr>
        <w:pStyle w:val="11"/>
        <w:ind w:firstLine="853" w:firstLineChars="427"/>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注：</w:t>
      </w:r>
    </w:p>
    <w:p w14:paraId="29EA1BBA">
      <w:pPr>
        <w:pStyle w:val="11"/>
        <w:ind w:firstLine="853" w:firstLineChars="427"/>
        <w:jc w:val="left"/>
        <w:rPr>
          <w:rFonts w:ascii="仿宋_GB2312" w:hAnsi="仿宋_GB2312" w:eastAsia="仿宋_GB2312" w:cs="仿宋_GB2312"/>
        </w:rPr>
      </w:pPr>
      <w:r>
        <w:rPr>
          <w:rFonts w:hint="eastAsia" w:ascii="仿宋_GB2312" w:hAnsi="仿宋_GB2312" w:eastAsia="仿宋_GB2312" w:cs="仿宋_GB2312"/>
          <w:lang w:val="en-US" w:eastAsia="zh-CN"/>
        </w:rPr>
        <w:t>1.</w:t>
      </w:r>
      <w:r>
        <w:rPr>
          <w:rFonts w:ascii="仿宋_GB2312" w:hAnsi="仿宋_GB2312" w:eastAsia="仿宋_GB2312" w:cs="仿宋_GB2312"/>
        </w:rPr>
        <w:t>采购需求中“/”代表“或”的意思，供应商选择其一</w:t>
      </w:r>
      <w:r>
        <w:rPr>
          <w:rFonts w:hint="eastAsia" w:ascii="仿宋_GB2312" w:hAnsi="仿宋_GB2312" w:eastAsia="仿宋_GB2312" w:cs="仿宋_GB2312"/>
          <w:lang w:eastAsia="zh-CN"/>
        </w:rPr>
        <w:t>投标（响应）</w:t>
      </w:r>
      <w:r>
        <w:rPr>
          <w:rFonts w:ascii="仿宋_GB2312" w:hAnsi="仿宋_GB2312" w:eastAsia="仿宋_GB2312" w:cs="仿宋_GB2312"/>
        </w:rPr>
        <w:t>即可。</w:t>
      </w:r>
    </w:p>
    <w:p w14:paraId="26B6CC75">
      <w:pPr>
        <w:pStyle w:val="11"/>
        <w:ind w:firstLine="857" w:firstLineChars="427"/>
        <w:jc w:val="left"/>
        <w:rPr>
          <w:rFonts w:ascii="仿宋_GB2312" w:hAnsi="仿宋_GB2312" w:eastAsia="仿宋_GB2312" w:cs="仿宋_GB2312"/>
        </w:rPr>
      </w:pPr>
      <w:r>
        <w:rPr>
          <w:rFonts w:hint="eastAsia" w:ascii="仿宋_GB2312" w:hAnsi="仿宋_GB2312" w:eastAsia="仿宋_GB2312" w:cs="仿宋_GB2312"/>
          <w:b/>
          <w:bCs/>
          <w:color w:val="FF0000"/>
          <w:lang w:val="en-US" w:eastAsia="zh-CN"/>
        </w:rPr>
        <w:t>2.上表“</w:t>
      </w:r>
      <w:r>
        <w:rPr>
          <w:rFonts w:ascii="仿宋_GB2312" w:hAnsi="仿宋_GB2312" w:eastAsia="仿宋_GB2312" w:cs="仿宋_GB2312"/>
          <w:b/>
          <w:bCs/>
          <w:color w:val="FF0000"/>
        </w:rPr>
        <w:t>采购需求参数</w:t>
      </w:r>
      <w:r>
        <w:rPr>
          <w:rFonts w:hint="eastAsia" w:ascii="仿宋_GB2312" w:hAnsi="仿宋_GB2312" w:eastAsia="仿宋_GB2312" w:cs="仿宋_GB2312"/>
          <w:b/>
          <w:bCs/>
          <w:color w:val="FF0000"/>
          <w:lang w:eastAsia="zh-CN"/>
        </w:rPr>
        <w:t>”</w:t>
      </w:r>
      <w:r>
        <w:rPr>
          <w:rFonts w:ascii="仿宋_GB2312" w:hAnsi="仿宋_GB2312" w:eastAsia="仿宋_GB2312" w:cs="仿宋_GB2312"/>
          <w:b/>
          <w:bCs/>
          <w:color w:val="FF0000"/>
        </w:rPr>
        <w:t>均为不可负偏离项，负偏离将视为未实质性满足征集文件要求，对应采购包作无效投标（响应）处理。</w:t>
      </w:r>
    </w:p>
    <w:p w14:paraId="7C458560">
      <w:pPr>
        <w:pStyle w:val="11"/>
        <w:ind w:firstLine="853" w:firstLineChars="427"/>
        <w:jc w:val="left"/>
        <w:rPr>
          <w:rFonts w:ascii="仿宋_GB2312" w:hAnsi="仿宋_GB2312" w:eastAsia="仿宋_GB2312" w:cs="仿宋_GB2312"/>
        </w:rPr>
      </w:pPr>
      <w:r>
        <w:rPr>
          <w:rFonts w:hint="eastAsia" w:ascii="仿宋_GB2312" w:hAnsi="仿宋_GB2312" w:eastAsia="仿宋_GB2312" w:cs="仿宋_GB2312"/>
          <w:lang w:val="en-US" w:eastAsia="zh-CN"/>
        </w:rPr>
        <w:t>3.</w:t>
      </w:r>
      <w:r>
        <w:rPr>
          <w:rFonts w:ascii="仿宋_GB2312" w:hAnsi="仿宋_GB2312" w:eastAsia="仿宋_GB2312" w:cs="仿宋_GB2312"/>
        </w:rPr>
        <w:t>采购需求参数偏离规则</w:t>
      </w:r>
      <w:r>
        <w:rPr>
          <w:rFonts w:hint="eastAsia" w:ascii="仿宋_GB2312" w:hAnsi="仿宋_GB2312" w:eastAsia="仿宋_GB2312" w:cs="仿宋_GB2312"/>
          <w:lang w:val="en-US" w:eastAsia="zh-CN"/>
        </w:rPr>
        <w:t>如下</w:t>
      </w:r>
      <w:r>
        <w:rPr>
          <w:rFonts w:ascii="仿宋_GB2312" w:hAnsi="仿宋_GB2312" w:eastAsia="仿宋_GB2312" w:cs="仿宋_GB2312"/>
        </w:rPr>
        <w:t>：</w:t>
      </w:r>
    </w:p>
    <w:p w14:paraId="0316A313">
      <w:pPr>
        <w:pStyle w:val="11"/>
        <w:ind w:firstLine="853" w:firstLineChars="427"/>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允许正偏离参数：“A4黑白连续复印速度（ppm）”“扫描速度（ipm）”“单个纸盒纸张容量（页）”“功能”“进纸盒数量（个）”“适配的操作系统”“内存容量”“免费质保限（年）”；</w:t>
      </w:r>
    </w:p>
    <w:p w14:paraId="4885D211">
      <w:pPr>
        <w:pStyle w:val="11"/>
        <w:ind w:firstLine="853" w:firstLineChars="427"/>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不允许偏离参数：“复印类型”“色彩”“最大纸张幅面”“自动双面复印”“是否标配自动双面输稿器”“操作面板”“网络打印”“是否适配符合安全可靠测评要求的操作系统”“是否节能产品”“工作台”。</w:t>
      </w:r>
    </w:p>
    <w:p w14:paraId="4806BD60">
      <w:pPr>
        <w:pStyle w:val="11"/>
        <w:ind w:firstLine="853" w:firstLineChars="427"/>
        <w:jc w:val="left"/>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4.</w:t>
      </w:r>
      <w:r>
        <w:rPr>
          <w:rFonts w:ascii="仿宋_GB2312" w:hAnsi="仿宋_GB2312" w:eastAsia="仿宋_GB2312" w:cs="仿宋_GB2312"/>
        </w:rPr>
        <w:t>“符合安全可靠测评要求的操作系统”可通过政府有关部门指定的中国信息安全测评中心（http://www.itsec.gov.cn/aqkkcp/）和国家保密科技测评中心（http://www.nsstec.org.cn/tzgg/index.shtml）官方网站发布的安全可靠测评结果公告查询。</w:t>
      </w:r>
    </w:p>
    <w:p w14:paraId="4B2AAFFC">
      <w:pPr>
        <w:pStyle w:val="11"/>
        <w:ind w:firstLine="853" w:firstLineChars="427"/>
        <w:jc w:val="left"/>
        <w:rPr>
          <w:rFonts w:ascii="仿宋_GB2312" w:hAnsi="仿宋_GB2312" w:eastAsia="仿宋_GB2312" w:cs="仿宋_GB2312"/>
        </w:rPr>
        <w:sectPr>
          <w:pgSz w:w="16838" w:h="11906" w:orient="landscape"/>
          <w:pgMar w:top="1800" w:right="1440" w:bottom="1800" w:left="1440" w:header="851" w:footer="992" w:gutter="0"/>
          <w:cols w:space="425" w:num="1"/>
          <w:docGrid w:type="lines" w:linePitch="312" w:charSpace="0"/>
        </w:sectPr>
      </w:pPr>
    </w:p>
    <w:p w14:paraId="60D12373">
      <w:pPr>
        <w:pStyle w:val="11"/>
        <w:jc w:val="left"/>
        <w:outlineLvl w:val="2"/>
      </w:pPr>
      <w:r>
        <w:rPr>
          <w:rFonts w:ascii="仿宋_GB2312" w:hAnsi="仿宋_GB2312" w:eastAsia="仿宋_GB2312" w:cs="仿宋_GB2312"/>
          <w:b/>
          <w:sz w:val="28"/>
        </w:rPr>
        <w:t>二、配套的必要耗材(专用耗材)</w:t>
      </w:r>
    </w:p>
    <w:p w14:paraId="63533416">
      <w:pPr>
        <w:pStyle w:val="11"/>
        <w:ind w:firstLine="480"/>
        <w:jc w:val="left"/>
      </w:pPr>
      <w:r>
        <w:rPr>
          <w:rFonts w:ascii="仿宋_GB2312" w:hAnsi="仿宋_GB2312" w:eastAsia="仿宋_GB2312" w:cs="仿宋_GB2312"/>
        </w:rPr>
        <w:t xml:space="preserve"> 专用耗材是指响应复印机产品的原装耗材，原装耗材品牌必须和响应复印机品牌保持一致，代用耗材、兼容耗材等非原装耗材不得作为专用耗材进行响应。</w:t>
      </w:r>
    </w:p>
    <w:p w14:paraId="57721C3A">
      <w:pPr>
        <w:pStyle w:val="11"/>
        <w:ind w:firstLine="480"/>
        <w:jc w:val="left"/>
        <w:rPr>
          <w:b/>
          <w:bCs/>
          <w:color w:val="FF0000"/>
        </w:rPr>
      </w:pPr>
      <w:r>
        <w:rPr>
          <w:rFonts w:ascii="仿宋_GB2312" w:hAnsi="仿宋_GB2312" w:eastAsia="仿宋_GB2312" w:cs="仿宋_GB2312"/>
        </w:rPr>
        <w:t xml:space="preserve"> </w:t>
      </w:r>
      <w:r>
        <w:rPr>
          <w:rFonts w:ascii="仿宋_GB2312" w:hAnsi="仿宋_GB2312" w:eastAsia="仿宋_GB2312" w:cs="仿宋_GB2312"/>
          <w:b/>
          <w:bCs/>
          <w:color w:val="FF0000"/>
        </w:rPr>
        <w:t>每款复印机由供应商选择一款对应专用耗材进行响应，选择多个类型耗材的，对应采购包视为无效</w:t>
      </w:r>
      <w:r>
        <w:rPr>
          <w:rFonts w:hint="eastAsia" w:ascii="仿宋_GB2312" w:hAnsi="仿宋_GB2312" w:eastAsia="仿宋_GB2312" w:cs="仿宋_GB2312"/>
          <w:b/>
          <w:bCs/>
          <w:color w:val="FF0000"/>
          <w:lang w:val="en-US" w:eastAsia="zh-CN"/>
        </w:rPr>
        <w:t>投标（</w:t>
      </w:r>
      <w:r>
        <w:rPr>
          <w:rFonts w:ascii="仿宋_GB2312" w:hAnsi="仿宋_GB2312" w:eastAsia="仿宋_GB2312" w:cs="仿宋_GB2312"/>
          <w:b/>
          <w:bCs/>
          <w:color w:val="FF0000"/>
        </w:rPr>
        <w:t>响应</w:t>
      </w:r>
      <w:r>
        <w:rPr>
          <w:rFonts w:hint="eastAsia" w:ascii="仿宋_GB2312" w:hAnsi="仿宋_GB2312" w:eastAsia="仿宋_GB2312" w:cs="仿宋_GB2312"/>
          <w:b/>
          <w:bCs/>
          <w:color w:val="FF0000"/>
          <w:lang w:eastAsia="zh-CN"/>
        </w:rPr>
        <w:t>）</w:t>
      </w:r>
      <w:r>
        <w:rPr>
          <w:rFonts w:ascii="仿宋_GB2312" w:hAnsi="仿宋_GB2312" w:eastAsia="仿宋_GB2312" w:cs="仿宋_GB2312"/>
          <w:b/>
          <w:bCs/>
          <w:color w:val="FF0000"/>
        </w:rPr>
        <w:t>。</w:t>
      </w:r>
    </w:p>
    <w:p w14:paraId="53460E15">
      <w:pPr>
        <w:pStyle w:val="11"/>
        <w:ind w:firstLine="480"/>
        <w:jc w:val="left"/>
      </w:pPr>
      <w:r>
        <w:rPr>
          <w:rFonts w:ascii="仿宋_GB2312" w:hAnsi="仿宋_GB2312" w:eastAsia="仿宋_GB2312" w:cs="仿宋_GB2312"/>
        </w:rPr>
        <w:t xml:space="preserve"> 耗材响应报价计算公式为：耗材单页打印成本响应报价*5000*40%。</w:t>
      </w:r>
    </w:p>
    <w:p w14:paraId="510D708C">
      <w:pPr>
        <w:pStyle w:val="11"/>
        <w:ind w:firstLine="480"/>
        <w:jc w:val="left"/>
      </w:pPr>
      <w:r>
        <w:rPr>
          <w:rFonts w:ascii="仿宋_GB2312" w:hAnsi="仿宋_GB2312" w:eastAsia="仿宋_GB2312" w:cs="仿宋_GB2312"/>
        </w:rPr>
        <w:t xml:space="preserve"> 耗材报价及操作指引：</w:t>
      </w:r>
    </w:p>
    <w:p w14:paraId="7878424A">
      <w:pPr>
        <w:pStyle w:val="11"/>
        <w:ind w:firstLine="480"/>
        <w:jc w:val="left"/>
        <w:rPr>
          <w:color w:val="FF0000"/>
        </w:rPr>
      </w:pPr>
      <w:r>
        <w:rPr>
          <w:rFonts w:ascii="仿宋_GB2312" w:hAnsi="仿宋_GB2312" w:eastAsia="仿宋_GB2312" w:cs="仿宋_GB2312"/>
        </w:rPr>
        <w:t xml:space="preserve"> </w:t>
      </w:r>
      <w:r>
        <w:rPr>
          <w:rFonts w:ascii="仿宋_GB2312" w:hAnsi="仿宋_GB2312" w:eastAsia="仿宋_GB2312" w:cs="仿宋_GB2312"/>
          <w:color w:val="FF0000"/>
        </w:rPr>
        <w:t>1.供应商在投标客户端编制投标文件，在《产品技术参数》的【选择分类】处选择对应产品耗材类型，黑白激光打印机耗材类型有2种为：鼓粉一体类型专用耗材、鼓粉分离类型专用耗材；彩色激光打印机耗材类型有3种为：彩色激光一体式、彩色激光分离式（单硒鼓机型）、彩色激光分离式（多硒鼓机型）。供应商须根据产品选择对应的1种耗材类型来响应，如多选或者不选，则视为无效</w:t>
      </w:r>
      <w:r>
        <w:rPr>
          <w:rFonts w:hint="eastAsia" w:ascii="仿宋_GB2312" w:hAnsi="仿宋_GB2312" w:eastAsia="仿宋_GB2312" w:cs="仿宋_GB2312"/>
          <w:color w:val="FF0000"/>
          <w:lang w:val="en-US" w:eastAsia="zh-CN"/>
        </w:rPr>
        <w:t>投标（</w:t>
      </w:r>
      <w:r>
        <w:rPr>
          <w:rFonts w:ascii="仿宋_GB2312" w:hAnsi="仿宋_GB2312" w:eastAsia="仿宋_GB2312" w:cs="仿宋_GB2312"/>
          <w:color w:val="FF0000"/>
        </w:rPr>
        <w:t>响应</w:t>
      </w:r>
      <w:r>
        <w:rPr>
          <w:rFonts w:hint="eastAsia" w:ascii="仿宋_GB2312" w:hAnsi="仿宋_GB2312" w:eastAsia="仿宋_GB2312" w:cs="仿宋_GB2312"/>
          <w:color w:val="FF0000"/>
          <w:lang w:eastAsia="zh-CN"/>
        </w:rPr>
        <w:t>）</w:t>
      </w:r>
      <w:r>
        <w:rPr>
          <w:rFonts w:ascii="仿宋_GB2312" w:hAnsi="仿宋_GB2312" w:eastAsia="仿宋_GB2312" w:cs="仿宋_GB2312"/>
          <w:color w:val="FF0000"/>
        </w:rPr>
        <w:t>。选择1种耗材类型后，在【选择】处挑选已录入的耗材进行响应。</w:t>
      </w:r>
    </w:p>
    <w:p w14:paraId="7A491C58">
      <w:pPr>
        <w:pStyle w:val="11"/>
        <w:ind w:firstLine="480"/>
        <w:jc w:val="left"/>
        <w:rPr>
          <w:color w:val="FF0000"/>
        </w:rPr>
      </w:pPr>
      <w:r>
        <w:rPr>
          <w:rFonts w:ascii="仿宋_GB2312" w:hAnsi="仿宋_GB2312" w:eastAsia="仿宋_GB2312" w:cs="仿宋_GB2312"/>
          <w:color w:val="FF0000"/>
        </w:rPr>
        <w:t xml:space="preserve"> 2.在投标客户端《报价明细表》填写对应产品、耗材报价及对应耗材的标称打印页数。</w:t>
      </w:r>
    </w:p>
    <w:p w14:paraId="1185EF4C">
      <w:pPr>
        <w:pStyle w:val="11"/>
        <w:ind w:firstLine="480"/>
        <w:jc w:val="left"/>
        <w:rPr>
          <w:color w:val="FF0000"/>
        </w:rPr>
      </w:pPr>
      <w:r>
        <w:rPr>
          <w:rFonts w:ascii="仿宋_GB2312" w:hAnsi="仿宋_GB2312" w:eastAsia="仿宋_GB2312" w:cs="仿宋_GB2312"/>
          <w:color w:val="FF0000"/>
        </w:rPr>
        <w:t xml:space="preserve"> 填写完成后系统按设定好的权重及公式计算耗材响应价格。</w:t>
      </w:r>
    </w:p>
    <w:p w14:paraId="69D15A9A">
      <w:pPr>
        <w:pStyle w:val="11"/>
        <w:ind w:firstLine="480"/>
        <w:jc w:val="left"/>
      </w:pPr>
      <w:r>
        <w:rPr>
          <w:rFonts w:ascii="仿宋_GB2312" w:hAnsi="仿宋_GB2312" w:eastAsia="仿宋_GB2312" w:cs="仿宋_GB2312"/>
        </w:rPr>
        <w:t xml:space="preserve"> 3.黑白激光打印机耗材单页打印成本计算公式如下：</w:t>
      </w:r>
    </w:p>
    <w:p w14:paraId="356CFAD9">
      <w:pPr>
        <w:pStyle w:val="11"/>
        <w:ind w:firstLine="480"/>
        <w:jc w:val="left"/>
        <w:rPr>
          <w:color w:val="FF0000"/>
        </w:rPr>
      </w:pPr>
      <w:r>
        <w:rPr>
          <w:rFonts w:ascii="仿宋_GB2312" w:hAnsi="仿宋_GB2312" w:eastAsia="仿宋_GB2312" w:cs="仿宋_GB2312"/>
          <w:color w:val="FF0000"/>
        </w:rPr>
        <w:t xml:space="preserve"> （1）鼓粉一体类型计算公式：单页打印成本（元）=对应机型专用耗材报价÷对应机型专用耗材标称打印页数。</w:t>
      </w:r>
    </w:p>
    <w:p w14:paraId="549A590A">
      <w:pPr>
        <w:pStyle w:val="11"/>
        <w:ind w:firstLine="480"/>
        <w:jc w:val="left"/>
      </w:pPr>
      <w:r>
        <w:rPr>
          <w:rFonts w:ascii="仿宋_GB2312" w:hAnsi="仿宋_GB2312" w:eastAsia="仿宋_GB2312" w:cs="仿宋_GB2312"/>
        </w:rPr>
        <w:t xml:space="preserve"> 示例：某供应商响应黑白激光打印机，对应的耗材类型为鼓粉一体，【选择分类】处选择鼓粉一体类型，在鼓粉一体类型专用耗材响应报价处填写500元，在标称打印页数处填写5000页，则该耗材单页打印成本=500÷5000=0.10元。</w:t>
      </w:r>
    </w:p>
    <w:p w14:paraId="2BBF908D">
      <w:pPr>
        <w:pStyle w:val="11"/>
        <w:ind w:firstLine="480"/>
        <w:jc w:val="left"/>
      </w:pPr>
      <w:r>
        <w:rPr>
          <w:rFonts w:ascii="仿宋_GB2312" w:hAnsi="仿宋_GB2312" w:eastAsia="仿宋_GB2312" w:cs="仿宋_GB2312"/>
        </w:rPr>
        <w:t xml:space="preserve"> 则耗材响应报价为：0.10*5000*40%=200元。</w:t>
      </w:r>
    </w:p>
    <w:p w14:paraId="4B0CAFE7">
      <w:pPr>
        <w:pStyle w:val="11"/>
        <w:ind w:firstLine="480"/>
        <w:jc w:val="left"/>
        <w:rPr>
          <w:color w:val="FF0000"/>
        </w:rPr>
      </w:pPr>
      <w:r>
        <w:rPr>
          <w:rFonts w:ascii="仿宋_GB2312" w:hAnsi="仿宋_GB2312" w:eastAsia="仿宋_GB2312" w:cs="仿宋_GB2312"/>
          <w:color w:val="FF0000"/>
        </w:rPr>
        <w:t xml:space="preserve"> （2）鼓粉分离类型计算公式：</w:t>
      </w:r>
    </w:p>
    <w:p w14:paraId="0925139B">
      <w:pPr>
        <w:pStyle w:val="11"/>
        <w:ind w:firstLine="480"/>
        <w:jc w:val="left"/>
        <w:rPr>
          <w:color w:val="FF0000"/>
        </w:rPr>
      </w:pPr>
      <w:r>
        <w:rPr>
          <w:rFonts w:ascii="仿宋_GB2312" w:hAnsi="仿宋_GB2312" w:eastAsia="仿宋_GB2312" w:cs="仿宋_GB2312"/>
          <w:color w:val="FF0000"/>
        </w:rPr>
        <w:t xml:space="preserve"> 对应硒鼓单页打印成本（元）=对应单个硒鼓报价÷对应硒鼓标称打印页数；</w:t>
      </w:r>
    </w:p>
    <w:p w14:paraId="5266ABE1">
      <w:pPr>
        <w:pStyle w:val="11"/>
        <w:ind w:firstLine="480"/>
        <w:jc w:val="left"/>
        <w:rPr>
          <w:color w:val="FF0000"/>
        </w:rPr>
      </w:pPr>
      <w:r>
        <w:rPr>
          <w:rFonts w:ascii="仿宋_GB2312" w:hAnsi="仿宋_GB2312" w:eastAsia="仿宋_GB2312" w:cs="仿宋_GB2312"/>
          <w:color w:val="FF0000"/>
        </w:rPr>
        <w:t xml:space="preserve"> 对应碳粉单页打印成本（元）=对应单个碳粉报价÷对应碳粉标称打印页数；</w:t>
      </w:r>
    </w:p>
    <w:p w14:paraId="7A588682">
      <w:pPr>
        <w:pStyle w:val="11"/>
        <w:ind w:firstLine="480"/>
        <w:jc w:val="left"/>
        <w:rPr>
          <w:color w:val="FF0000"/>
        </w:rPr>
      </w:pPr>
      <w:r>
        <w:rPr>
          <w:rFonts w:ascii="仿宋_GB2312" w:hAnsi="仿宋_GB2312" w:eastAsia="仿宋_GB2312" w:cs="仿宋_GB2312"/>
          <w:color w:val="FF0000"/>
        </w:rPr>
        <w:t xml:space="preserve"> 总单页打印成本（元）=对应硒鼓单页打印成本+对应碳粉单页打印成本。</w:t>
      </w:r>
    </w:p>
    <w:p w14:paraId="34F72C9B">
      <w:pPr>
        <w:pStyle w:val="11"/>
        <w:ind w:firstLine="480"/>
        <w:jc w:val="left"/>
      </w:pPr>
      <w:r>
        <w:rPr>
          <w:rFonts w:ascii="仿宋_GB2312" w:hAnsi="仿宋_GB2312" w:eastAsia="仿宋_GB2312" w:cs="仿宋_GB2312"/>
        </w:rPr>
        <w:t xml:space="preserve"> 示例：某供应商响应黑白激光打印机，对应的耗材类型为鼓粉分离，【选择分类】处选择鼓粉分离类型，在鼓粉分离类型专用耗材单个硒鼓响应报价处填写400元，在标称打印页数处填写8000页，则该硒鼓单页打印成本=400÷8000=0.05元；在鼓粉分离类型专用耗材单个碳粉响应报价处填写300元，在标称打印页数处填写2000页，则该碳粉单页打印成本=300÷2000=0.15元。</w:t>
      </w:r>
    </w:p>
    <w:p w14:paraId="549260A9">
      <w:pPr>
        <w:pStyle w:val="11"/>
        <w:ind w:firstLine="480"/>
        <w:jc w:val="left"/>
      </w:pPr>
      <w:r>
        <w:rPr>
          <w:rFonts w:ascii="仿宋_GB2312" w:hAnsi="仿宋_GB2312" w:eastAsia="仿宋_GB2312" w:cs="仿宋_GB2312"/>
        </w:rPr>
        <w:t xml:space="preserve"> 则耗材响应报价为：0.05*5000*40%+0.15*5000*40%=400元。</w:t>
      </w:r>
    </w:p>
    <w:p w14:paraId="1E5D569D">
      <w:pPr>
        <w:pStyle w:val="11"/>
        <w:ind w:firstLine="480"/>
        <w:jc w:val="left"/>
      </w:pPr>
      <w:r>
        <w:rPr>
          <w:rFonts w:ascii="仿宋_GB2312" w:hAnsi="仿宋_GB2312" w:eastAsia="仿宋_GB2312" w:cs="仿宋_GB2312"/>
        </w:rPr>
        <w:t xml:space="preserve"> 4.彩色激光打印机耗材单页打印成本计算公式如下：</w:t>
      </w:r>
    </w:p>
    <w:p w14:paraId="34ADC377">
      <w:pPr>
        <w:pStyle w:val="11"/>
        <w:ind w:firstLine="480"/>
        <w:jc w:val="left"/>
        <w:rPr>
          <w:color w:val="FF0000"/>
        </w:rPr>
      </w:pPr>
      <w:r>
        <w:rPr>
          <w:rFonts w:ascii="仿宋_GB2312" w:hAnsi="仿宋_GB2312" w:eastAsia="仿宋_GB2312" w:cs="仿宋_GB2312"/>
          <w:color w:val="FF0000"/>
        </w:rPr>
        <w:t xml:space="preserve"> （1）彩色激光一体式计算公式：单页打印成本（元）=对应机型彩色套装专用耗材报价（含黑白颜色，一套）÷对应机型专用耗材中最小标称打印页数。</w:t>
      </w:r>
    </w:p>
    <w:p w14:paraId="1C1D8CCB">
      <w:pPr>
        <w:pStyle w:val="11"/>
        <w:ind w:firstLine="480"/>
        <w:jc w:val="left"/>
      </w:pPr>
      <w:r>
        <w:rPr>
          <w:rFonts w:ascii="仿宋_GB2312" w:hAnsi="仿宋_GB2312" w:eastAsia="仿宋_GB2312" w:cs="仿宋_GB2312"/>
        </w:rPr>
        <w:t xml:space="preserve"> 示例：某供应商响应激光彩色打印机，对应的耗材类型为鼓粉一体，【选择分类】处选择鼓粉一体类型，套装中有红、黄、青、黑四色碳粉，四色碳粉总价格共2000元，则在鼓粉一体类型专用耗材响应报价处填写2000元，碳粉标称页数分别是黑色4500页，红色3800页、黄色3500页、青色3000页，则对应机型专用耗材中最小标称打印页数为3000页，在标称打印页数/最小标称打印页数处填写3000页，因此，该耗材单页打印成本=2000÷3000=0.67元。</w:t>
      </w:r>
    </w:p>
    <w:p w14:paraId="321E2301">
      <w:pPr>
        <w:pStyle w:val="11"/>
        <w:ind w:firstLine="480"/>
        <w:jc w:val="left"/>
      </w:pPr>
      <w:r>
        <w:rPr>
          <w:rFonts w:ascii="仿宋_GB2312" w:hAnsi="仿宋_GB2312" w:eastAsia="仿宋_GB2312" w:cs="仿宋_GB2312"/>
        </w:rPr>
        <w:t xml:space="preserve"> 则耗材响应报价为：0.67*5000*40%=1340元。</w:t>
      </w:r>
    </w:p>
    <w:p w14:paraId="343CAB85">
      <w:pPr>
        <w:pStyle w:val="11"/>
        <w:ind w:firstLine="480"/>
        <w:jc w:val="left"/>
        <w:rPr>
          <w:color w:val="FF0000"/>
        </w:rPr>
      </w:pPr>
      <w:r>
        <w:rPr>
          <w:rFonts w:ascii="仿宋_GB2312" w:hAnsi="仿宋_GB2312" w:eastAsia="仿宋_GB2312" w:cs="仿宋_GB2312"/>
          <w:color w:val="FF0000"/>
        </w:rPr>
        <w:t xml:space="preserve"> （2）彩色激光分离式（单硒鼓机型）类型计算公式：</w:t>
      </w:r>
    </w:p>
    <w:p w14:paraId="50E3C08F">
      <w:pPr>
        <w:pStyle w:val="11"/>
        <w:ind w:firstLine="480"/>
        <w:jc w:val="left"/>
        <w:rPr>
          <w:color w:val="FF0000"/>
        </w:rPr>
      </w:pPr>
      <w:r>
        <w:rPr>
          <w:rFonts w:ascii="仿宋_GB2312" w:hAnsi="仿宋_GB2312" w:eastAsia="仿宋_GB2312" w:cs="仿宋_GB2312"/>
          <w:color w:val="FF0000"/>
        </w:rPr>
        <w:t xml:space="preserve"> 对应硒鼓单页打印成本（元）=对应单个硒鼓报价÷对应硒鼓标称打印页数</w:t>
      </w:r>
    </w:p>
    <w:p w14:paraId="12510906">
      <w:pPr>
        <w:pStyle w:val="11"/>
        <w:ind w:firstLine="480"/>
        <w:jc w:val="left"/>
        <w:rPr>
          <w:color w:val="FF0000"/>
        </w:rPr>
      </w:pPr>
      <w:r>
        <w:rPr>
          <w:rFonts w:ascii="仿宋_GB2312" w:hAnsi="仿宋_GB2312" w:eastAsia="仿宋_GB2312" w:cs="仿宋_GB2312"/>
          <w:color w:val="FF0000"/>
        </w:rPr>
        <w:t xml:space="preserve"> 对应碳粉单页打印成本（元）=红色碳粉报价÷红色碳粉标称打印页数+黄色碳粉报价÷黄色碳粉标称打印页数+青色碳粉报价÷青色碳粉标称打印页数+黑色碳粉报价÷黑色碳粉标称打印页数；</w:t>
      </w:r>
    </w:p>
    <w:p w14:paraId="489C164D">
      <w:pPr>
        <w:pStyle w:val="11"/>
        <w:ind w:firstLine="480"/>
        <w:jc w:val="left"/>
        <w:rPr>
          <w:color w:val="FF0000"/>
        </w:rPr>
      </w:pPr>
      <w:r>
        <w:rPr>
          <w:rFonts w:ascii="仿宋_GB2312" w:hAnsi="仿宋_GB2312" w:eastAsia="仿宋_GB2312" w:cs="仿宋_GB2312"/>
          <w:color w:val="FF0000"/>
        </w:rPr>
        <w:t xml:space="preserve"> 总单页打印成本（元）=对应硒鼓单页打印成本+对应碳粉单页打印成本。</w:t>
      </w:r>
    </w:p>
    <w:p w14:paraId="6BD94763">
      <w:pPr>
        <w:pStyle w:val="11"/>
        <w:ind w:firstLine="480"/>
        <w:jc w:val="left"/>
      </w:pPr>
      <w:r>
        <w:rPr>
          <w:rFonts w:ascii="仿宋_GB2312" w:hAnsi="仿宋_GB2312" w:eastAsia="仿宋_GB2312" w:cs="仿宋_GB2312"/>
        </w:rPr>
        <w:t xml:space="preserve"> 示例：某供应商响应A4彩色激光打印机，对应的耗材类型为分离式单硒鼓机型，【选择分类】处选择鼓粉分离式单硒鼓机型，在鼓粉分离类型专用耗材单个硒鼓响应报价处填写400元，在标称打印页数/最小标称打印页数处填写8000页，则该硒鼓单页打印成本=400÷8000=0.05元；套装中碳粉价格分别是红色200元、黄色200元、青色200元、黑色300元；套装中碳粉标称页数分别是红色4000页、黄色3500页、青色3000页、黑色4000元，则填写在对应碳粉响应报价及标称打印页数/最小标称打印页数处。该碳粉单页打印成本=200÷4000+200÷3500+200÷3000+300÷4000=0.25元。</w:t>
      </w:r>
    </w:p>
    <w:p w14:paraId="0D1D62BC">
      <w:pPr>
        <w:pStyle w:val="11"/>
        <w:ind w:firstLine="480"/>
        <w:jc w:val="left"/>
      </w:pPr>
      <w:r>
        <w:rPr>
          <w:rFonts w:ascii="仿宋_GB2312" w:hAnsi="仿宋_GB2312" w:eastAsia="仿宋_GB2312" w:cs="仿宋_GB2312"/>
        </w:rPr>
        <w:t xml:space="preserve"> 则耗材响应报价为：0.05*5000*40%+0.25*5000*40%=600元。</w:t>
      </w:r>
    </w:p>
    <w:p w14:paraId="02A1CE6F">
      <w:pPr>
        <w:pStyle w:val="11"/>
        <w:ind w:firstLine="480"/>
        <w:jc w:val="left"/>
        <w:rPr>
          <w:color w:val="FF0000"/>
        </w:rPr>
      </w:pPr>
      <w:r>
        <w:rPr>
          <w:rFonts w:ascii="仿宋_GB2312" w:hAnsi="仿宋_GB2312" w:eastAsia="仿宋_GB2312" w:cs="仿宋_GB2312"/>
        </w:rPr>
        <w:t xml:space="preserve"> </w:t>
      </w:r>
      <w:r>
        <w:rPr>
          <w:rFonts w:ascii="仿宋_GB2312" w:hAnsi="仿宋_GB2312" w:eastAsia="仿宋_GB2312" w:cs="仿宋_GB2312"/>
          <w:color w:val="FF0000"/>
        </w:rPr>
        <w:t>（3）彩色激光分离式（多硒鼓机型）类型计算公式：</w:t>
      </w:r>
    </w:p>
    <w:p w14:paraId="0209B89C">
      <w:pPr>
        <w:pStyle w:val="11"/>
        <w:ind w:firstLine="480"/>
        <w:jc w:val="left"/>
        <w:rPr>
          <w:color w:val="FF0000"/>
        </w:rPr>
      </w:pPr>
      <w:r>
        <w:rPr>
          <w:rFonts w:ascii="仿宋_GB2312" w:hAnsi="仿宋_GB2312" w:eastAsia="仿宋_GB2312" w:cs="仿宋_GB2312"/>
          <w:color w:val="FF0000"/>
        </w:rPr>
        <w:t xml:space="preserve"> 对应硒鼓单页打印成本（元）=对应单个硒鼓报价÷对应硒鼓标称打印页数</w:t>
      </w:r>
    </w:p>
    <w:p w14:paraId="11CFAADE">
      <w:pPr>
        <w:pStyle w:val="11"/>
        <w:ind w:firstLine="480"/>
        <w:jc w:val="left"/>
        <w:rPr>
          <w:color w:val="FF0000"/>
        </w:rPr>
      </w:pPr>
      <w:r>
        <w:rPr>
          <w:rFonts w:ascii="仿宋_GB2312" w:hAnsi="仿宋_GB2312" w:eastAsia="仿宋_GB2312" w:cs="仿宋_GB2312"/>
          <w:color w:val="FF0000"/>
        </w:rPr>
        <w:t xml:space="preserve"> 对应碳粉单页打印成本（元）=红色碳粉报价÷红色碳粉标称打印页数+黄色碳粉报价÷黄色碳粉标称打印页数+青色碳粉报价÷青色碳粉标称打印页数+黑色碳粉报价÷黑色碳粉标称打印页数；</w:t>
      </w:r>
    </w:p>
    <w:p w14:paraId="3628A675">
      <w:pPr>
        <w:pStyle w:val="11"/>
        <w:ind w:firstLine="480"/>
        <w:jc w:val="left"/>
        <w:rPr>
          <w:color w:val="FF0000"/>
        </w:rPr>
      </w:pPr>
      <w:r>
        <w:rPr>
          <w:rFonts w:ascii="仿宋_GB2312" w:hAnsi="仿宋_GB2312" w:eastAsia="仿宋_GB2312" w:cs="仿宋_GB2312"/>
          <w:color w:val="FF0000"/>
        </w:rPr>
        <w:t xml:space="preserve"> 总单页打印成本（元）=对应硒鼓单页打印成本+对应碳粉单页打印成本。</w:t>
      </w:r>
    </w:p>
    <w:p w14:paraId="73B57137">
      <w:pPr>
        <w:pStyle w:val="11"/>
        <w:ind w:firstLine="480"/>
        <w:jc w:val="left"/>
      </w:pPr>
      <w:r>
        <w:rPr>
          <w:rFonts w:ascii="仿宋_GB2312" w:hAnsi="仿宋_GB2312" w:eastAsia="仿宋_GB2312" w:cs="仿宋_GB2312"/>
        </w:rPr>
        <w:t xml:space="preserve"> 示例：某供应商响应激光打印机，对应的耗材类型为分离式多硒鼓机型，【选择分类】处选择鼓粉分离式多硒鼓机型，套装中硒鼓价格分别是红色200元、黄色200元、青色200元、黑色300元；套装中硒鼓标称页数分别是红色4000页、黄色3500页、青色3000页、黑色4000元，填写在对应硒鼓响应报价及标称打印页数/最小标称打印页数处，该硒鼓单页打印成本=200÷4000+200÷3500+200÷3000+300÷4000=0.25元；套装中碳粉价格分别是红色200元、黄色200元、青色200元、黑色300元；套装中碳粉标称页数分别是红色4000页、黄色3500页、青色3000页、黑色4000元，填写在对应碳粉响应报价及标称打印页数/最小标称打印页数处，该碳粉单页打印成本=200÷4000+200÷3500+200÷3000+300÷4000=0.25元。</w:t>
      </w:r>
    </w:p>
    <w:p w14:paraId="6A611A8B">
      <w:pPr>
        <w:pStyle w:val="11"/>
        <w:ind w:firstLine="480"/>
        <w:jc w:val="left"/>
      </w:pPr>
      <w:r>
        <w:rPr>
          <w:rFonts w:ascii="仿宋_GB2312" w:hAnsi="仿宋_GB2312" w:eastAsia="仿宋_GB2312" w:cs="仿宋_GB2312"/>
        </w:rPr>
        <w:t xml:space="preserve"> 则耗材响应报价为：0.25*5000*40%+0.25*5000*40%=1000元。</w:t>
      </w:r>
    </w:p>
    <w:p w14:paraId="21D8AD76">
      <w:pPr>
        <w:pStyle w:val="11"/>
        <w:ind w:firstLine="480"/>
        <w:jc w:val="left"/>
      </w:pPr>
      <w:r>
        <w:rPr>
          <w:rFonts w:ascii="仿宋_GB2312" w:hAnsi="仿宋_GB2312" w:eastAsia="仿宋_GB2312" w:cs="仿宋_GB2312"/>
        </w:rPr>
        <w:t xml:space="preserve"> 采购人购买的复印机已包含产品自带专用耗材，也可在购买产品时选择对应的专用耗材一起购买，留作备用，后续如需单独购买耗材，采购人可自行采购，框架协议采购系统专用耗材仅随复印机产品销售。</w:t>
      </w:r>
    </w:p>
    <w:p w14:paraId="084D353B">
      <w:pPr>
        <w:pStyle w:val="11"/>
        <w:ind w:firstLine="480"/>
        <w:jc w:val="left"/>
      </w:pPr>
      <w:r>
        <w:rPr>
          <w:rFonts w:ascii="仿宋_GB2312" w:hAnsi="仿宋_GB2312" w:eastAsia="仿宋_GB2312" w:cs="仿宋_GB2312"/>
        </w:rPr>
        <w:t xml:space="preserve"> 专用耗材约定期限3年。</w:t>
      </w:r>
    </w:p>
    <w:p w14:paraId="5F3AD398">
      <w:pPr>
        <w:pStyle w:val="11"/>
        <w:outlineLvl w:val="2"/>
        <w:rPr>
          <w:rFonts w:hint="eastAsia" w:ascii="仿宋_GB2312" w:hAnsi="仿宋_GB2312" w:eastAsia="仿宋_GB2312" w:cs="仿宋_GB2312"/>
          <w:b/>
          <w:sz w:val="28"/>
          <w:lang w:val="en-US" w:eastAsia="zh-CN"/>
        </w:rPr>
      </w:pPr>
      <w:r>
        <w:rPr>
          <w:rFonts w:hint="eastAsia" w:ascii="仿宋_GB2312" w:hAnsi="仿宋_GB2312" w:eastAsia="仿宋_GB2312" w:cs="仿宋_GB2312"/>
          <w:b/>
          <w:sz w:val="28"/>
          <w:lang w:val="en-US" w:eastAsia="zh-CN"/>
        </w:rPr>
        <w:t>三、实质性条款</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2"/>
        <w:gridCol w:w="3947"/>
        <w:gridCol w:w="3922"/>
      </w:tblGrid>
      <w:tr w14:paraId="701ED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52" w:type="dxa"/>
            <w:vAlign w:val="center"/>
          </w:tcPr>
          <w:p w14:paraId="69645EC4">
            <w:pPr>
              <w:pStyle w:val="11"/>
              <w:widowControl w:val="0"/>
              <w:numPr>
                <w:ilvl w:val="-1"/>
                <w:numId w:val="0"/>
              </w:numPr>
              <w:jc w:val="center"/>
              <w:rPr>
                <w:rFonts w:hint="eastAsia" w:ascii="仿宋_GB2312" w:hAnsi="仿宋_GB2312" w:eastAsia="仿宋_GB2312" w:cs="仿宋_GB2312"/>
                <w:sz w:val="19"/>
                <w:vertAlign w:val="baseline"/>
                <w:lang w:val="en-US" w:eastAsia="zh-CN"/>
              </w:rPr>
            </w:pPr>
            <w:r>
              <w:rPr>
                <w:rFonts w:hint="eastAsia" w:ascii="仿宋_GB2312" w:hAnsi="仿宋_GB2312" w:eastAsia="仿宋_GB2312" w:cs="仿宋_GB2312"/>
                <w:sz w:val="19"/>
                <w:vertAlign w:val="baseline"/>
                <w:lang w:val="en-US" w:eastAsia="zh-CN"/>
              </w:rPr>
              <w:t>序号</w:t>
            </w:r>
          </w:p>
        </w:tc>
        <w:tc>
          <w:tcPr>
            <w:tcW w:w="3947" w:type="dxa"/>
            <w:vAlign w:val="center"/>
          </w:tcPr>
          <w:p w14:paraId="4460BEB3">
            <w:pPr>
              <w:pStyle w:val="11"/>
              <w:widowControl w:val="0"/>
              <w:numPr>
                <w:ilvl w:val="-1"/>
                <w:numId w:val="0"/>
              </w:numPr>
              <w:jc w:val="center"/>
              <w:rPr>
                <w:rFonts w:ascii="仿宋_GB2312" w:hAnsi="仿宋_GB2312" w:eastAsia="仿宋_GB2312" w:cs="仿宋_GB2312"/>
                <w:sz w:val="19"/>
                <w:vertAlign w:val="baseline"/>
              </w:rPr>
            </w:pPr>
            <w:r>
              <w:rPr>
                <w:rFonts w:hint="eastAsia" w:ascii="仿宋_GB2312" w:hAnsi="仿宋_GB2312" w:eastAsia="仿宋_GB2312" w:cs="仿宋_GB2312"/>
                <w:kern w:val="0"/>
                <w:sz w:val="19"/>
                <w:szCs w:val="20"/>
              </w:rPr>
              <w:t>实质性条款具体内容</w:t>
            </w:r>
          </w:p>
        </w:tc>
        <w:tc>
          <w:tcPr>
            <w:tcW w:w="3922" w:type="dxa"/>
            <w:vAlign w:val="center"/>
          </w:tcPr>
          <w:p w14:paraId="7F4FA92B">
            <w:pPr>
              <w:pStyle w:val="11"/>
              <w:widowControl w:val="0"/>
              <w:numPr>
                <w:ilvl w:val="-1"/>
                <w:numId w:val="0"/>
              </w:numPr>
              <w:jc w:val="center"/>
              <w:rPr>
                <w:rFonts w:hint="eastAsia" w:ascii="仿宋_GB2312" w:hAnsi="仿宋_GB2312" w:eastAsia="仿宋_GB2312" w:cs="仿宋_GB2312"/>
                <w:kern w:val="0"/>
                <w:sz w:val="19"/>
                <w:szCs w:val="20"/>
              </w:rPr>
            </w:pPr>
            <w:r>
              <w:rPr>
                <w:rFonts w:hint="eastAsia" w:ascii="仿宋_GB2312" w:hAnsi="仿宋_GB2312" w:eastAsia="仿宋_GB2312" w:cs="仿宋_GB2312"/>
                <w:lang w:val="en-US" w:eastAsia="zh-CN"/>
              </w:rPr>
              <w:t>证明材料</w:t>
            </w:r>
          </w:p>
        </w:tc>
      </w:tr>
      <w:tr w14:paraId="7224E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2" w:type="dxa"/>
            <w:vAlign w:val="center"/>
          </w:tcPr>
          <w:p w14:paraId="1D15382E">
            <w:pPr>
              <w:pStyle w:val="11"/>
              <w:widowControl w:val="0"/>
              <w:numPr>
                <w:ilvl w:val="-1"/>
                <w:numId w:val="0"/>
              </w:numPr>
              <w:jc w:val="both"/>
              <w:rPr>
                <w:rFonts w:hint="eastAsia" w:ascii="仿宋_GB2312" w:hAnsi="仿宋_GB2312" w:eastAsia="仿宋_GB2312" w:cs="仿宋_GB2312"/>
                <w:vertAlign w:val="baseline"/>
                <w:lang w:val="en-US" w:eastAsia="zh-CN"/>
              </w:rPr>
            </w:pPr>
            <w:r>
              <w:rPr>
                <w:rFonts w:hint="eastAsia" w:ascii="仿宋_GB2312" w:hAnsi="仿宋_GB2312" w:eastAsia="仿宋_GB2312" w:cs="仿宋_GB2312"/>
                <w:vertAlign w:val="baseline"/>
                <w:lang w:val="en-US" w:eastAsia="zh-CN"/>
              </w:rPr>
              <w:t>1</w:t>
            </w:r>
          </w:p>
        </w:tc>
        <w:tc>
          <w:tcPr>
            <w:tcW w:w="3947" w:type="dxa"/>
            <w:vAlign w:val="center"/>
          </w:tcPr>
          <w:p w14:paraId="56DD030C">
            <w:pPr>
              <w:widowControl w:val="0"/>
              <w:jc w:val="both"/>
              <w:rPr>
                <w:rFonts w:hint="eastAsia" w:ascii="仿宋_GB2312" w:hAnsi="仿宋_GB2312" w:eastAsia="仿宋_GB2312" w:cs="仿宋_GB2312"/>
                <w:snapToGrid/>
                <w:color w:val="auto"/>
                <w:sz w:val="20"/>
                <w:szCs w:val="20"/>
                <w:vertAlign w:val="baseline"/>
                <w:lang w:eastAsia="zh-Hans"/>
              </w:rPr>
            </w:pPr>
            <w:r>
              <w:rPr>
                <w:rFonts w:hint="eastAsia" w:ascii="仿宋_GB2312" w:hAnsi="仿宋_GB2312" w:eastAsia="仿宋_GB2312" w:cs="仿宋_GB2312"/>
                <w:snapToGrid/>
                <w:color w:val="auto"/>
                <w:sz w:val="20"/>
                <w:szCs w:val="20"/>
                <w:lang w:val="en-US" w:eastAsia="zh-Hans"/>
              </w:rPr>
              <w:t>供应商</w:t>
            </w:r>
            <w:r>
              <w:rPr>
                <w:rFonts w:hint="eastAsia" w:ascii="仿宋_GB2312" w:hAnsi="仿宋_GB2312" w:eastAsia="仿宋_GB2312" w:cs="仿宋_GB2312"/>
                <w:snapToGrid/>
                <w:color w:val="auto"/>
                <w:sz w:val="20"/>
                <w:szCs w:val="20"/>
                <w:lang w:val="en-US" w:eastAsia="zh-CN"/>
              </w:rPr>
              <w:t>投标（响应）货物</w:t>
            </w:r>
            <w:r>
              <w:rPr>
                <w:rFonts w:hint="eastAsia" w:ascii="仿宋_GB2312" w:hAnsi="仿宋_GB2312" w:eastAsia="仿宋_GB2312" w:cs="仿宋_GB2312"/>
                <w:snapToGrid/>
                <w:color w:val="auto"/>
                <w:sz w:val="20"/>
                <w:szCs w:val="20"/>
                <w:lang w:val="en-US" w:eastAsia="zh-Hans"/>
              </w:rPr>
              <w:t>的技术参数不得低于“第三章 采购需求”中的技术要求，可投标（响应）一个或多个采购包，但每个采购包只能用一个产品进行投标（响应）。同一款产品不得同时入围多个品目框架协议，若供应商所投产品已入围其他品目的框架协议，否则该产品在本项目所投的对应采购包将视为无效</w:t>
            </w:r>
            <w:r>
              <w:rPr>
                <w:rFonts w:hint="eastAsia" w:ascii="仿宋_GB2312" w:hAnsi="仿宋_GB2312" w:eastAsia="仿宋_GB2312" w:cs="仿宋_GB2312"/>
                <w:snapToGrid/>
                <w:color w:val="auto"/>
                <w:sz w:val="20"/>
                <w:szCs w:val="20"/>
                <w:lang w:val="en-US" w:eastAsia="zh-CN"/>
              </w:rPr>
              <w:t>投标（响应）</w:t>
            </w:r>
            <w:r>
              <w:rPr>
                <w:rFonts w:hint="eastAsia" w:ascii="仿宋_GB2312" w:hAnsi="仿宋_GB2312" w:eastAsia="仿宋_GB2312" w:cs="仿宋_GB2312"/>
                <w:snapToGrid/>
                <w:color w:val="auto"/>
                <w:sz w:val="20"/>
                <w:szCs w:val="20"/>
                <w:lang w:val="en-US" w:eastAsia="zh-Hans"/>
              </w:rPr>
              <w:t>。同一产品不能同时投多个采购包，否则该货物所投所有采购包将视为无效</w:t>
            </w:r>
            <w:r>
              <w:rPr>
                <w:rFonts w:hint="eastAsia" w:ascii="仿宋_GB2312" w:hAnsi="仿宋_GB2312" w:eastAsia="仿宋_GB2312" w:cs="仿宋_GB2312"/>
                <w:snapToGrid/>
                <w:color w:val="auto"/>
                <w:sz w:val="20"/>
                <w:szCs w:val="20"/>
                <w:lang w:val="en-US" w:eastAsia="zh-CN"/>
              </w:rPr>
              <w:t>投标（响应）</w:t>
            </w:r>
            <w:r>
              <w:rPr>
                <w:rFonts w:hint="eastAsia" w:ascii="仿宋_GB2312" w:hAnsi="仿宋_GB2312" w:eastAsia="仿宋_GB2312" w:cs="仿宋_GB2312"/>
                <w:snapToGrid/>
                <w:color w:val="auto"/>
                <w:sz w:val="20"/>
                <w:szCs w:val="20"/>
                <w:lang w:val="en-US" w:eastAsia="zh-Hans"/>
              </w:rPr>
              <w:t>。</w:t>
            </w:r>
          </w:p>
        </w:tc>
        <w:tc>
          <w:tcPr>
            <w:tcW w:w="3922" w:type="dxa"/>
            <w:vAlign w:val="center"/>
          </w:tcPr>
          <w:p w14:paraId="38FAFA27">
            <w:pPr>
              <w:widowControl w:val="0"/>
              <w:jc w:val="both"/>
              <w:rPr>
                <w:rFonts w:hint="eastAsia" w:ascii="仿宋_GB2312" w:hAnsi="仿宋_GB2312" w:eastAsia="仿宋_GB2312" w:cs="仿宋_GB2312"/>
                <w:snapToGrid/>
                <w:color w:val="auto"/>
                <w:sz w:val="20"/>
                <w:szCs w:val="20"/>
                <w:lang w:val="en-US" w:eastAsia="zh-Hans"/>
              </w:rPr>
            </w:pPr>
            <w:r>
              <w:rPr>
                <w:rFonts w:hint="eastAsia" w:ascii="仿宋_GB2312" w:hAnsi="仿宋_GB2312" w:eastAsia="仿宋_GB2312" w:cs="仿宋_GB2312"/>
                <w:snapToGrid/>
                <w:color w:val="auto"/>
                <w:sz w:val="20"/>
                <w:szCs w:val="20"/>
                <w:lang w:val="en-US" w:eastAsia="zh-Hans"/>
              </w:rPr>
              <w:t>提供《产品技术参数表》。</w:t>
            </w:r>
          </w:p>
        </w:tc>
      </w:tr>
      <w:tr w14:paraId="06498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2" w:type="dxa"/>
            <w:vAlign w:val="center"/>
          </w:tcPr>
          <w:p w14:paraId="03BFD9FC">
            <w:pPr>
              <w:pStyle w:val="11"/>
              <w:widowControl w:val="0"/>
              <w:numPr>
                <w:ilvl w:val="-1"/>
                <w:numId w:val="0"/>
              </w:numPr>
              <w:jc w:val="both"/>
              <w:rPr>
                <w:rFonts w:hint="default" w:ascii="仿宋_GB2312" w:hAnsi="仿宋_GB2312" w:eastAsia="仿宋_GB2312" w:cs="仿宋_GB2312"/>
                <w:vertAlign w:val="baseline"/>
                <w:lang w:val="en-US" w:eastAsia="zh-CN"/>
              </w:rPr>
            </w:pPr>
            <w:r>
              <w:rPr>
                <w:rFonts w:hint="eastAsia" w:ascii="仿宋_GB2312" w:hAnsi="仿宋_GB2312" w:eastAsia="仿宋_GB2312" w:cs="仿宋_GB2312"/>
                <w:vertAlign w:val="baseline"/>
                <w:lang w:val="en-US" w:eastAsia="zh-CN"/>
              </w:rPr>
              <w:t>2</w:t>
            </w:r>
          </w:p>
        </w:tc>
        <w:tc>
          <w:tcPr>
            <w:tcW w:w="3947" w:type="dxa"/>
            <w:vAlign w:val="center"/>
          </w:tcPr>
          <w:p w14:paraId="437DFC8A">
            <w:pPr>
              <w:widowControl w:val="0"/>
              <w:jc w:val="both"/>
              <w:rPr>
                <w:rFonts w:hint="default" w:ascii="仿宋_GB2312" w:hAnsi="仿宋_GB2312" w:eastAsia="仿宋_GB2312" w:cs="仿宋_GB2312"/>
                <w:snapToGrid/>
                <w:color w:val="auto"/>
                <w:sz w:val="20"/>
                <w:szCs w:val="20"/>
                <w:lang w:val="en-US" w:eastAsia="zh-CN"/>
              </w:rPr>
            </w:pPr>
            <w:r>
              <w:rPr>
                <w:rFonts w:hint="eastAsia" w:ascii="仿宋_GB2312" w:hAnsi="仿宋_GB2312" w:eastAsia="仿宋_GB2312" w:cs="仿宋_GB2312"/>
                <w:snapToGrid/>
                <w:color w:val="auto"/>
                <w:sz w:val="20"/>
                <w:szCs w:val="20"/>
                <w:lang w:val="en-US" w:eastAsia="zh-Hans"/>
              </w:rPr>
              <w:t>根据《关于印发节能产品政府采购品目清单的通知》（财库〔2019〕19号）的要求，</w:t>
            </w:r>
            <w:r>
              <w:rPr>
                <w:rFonts w:hint="eastAsia" w:ascii="仿宋_GB2312" w:hAnsi="仿宋_GB2312" w:eastAsia="仿宋_GB2312" w:cs="仿宋_GB2312"/>
                <w:snapToGrid/>
                <w:color w:val="auto"/>
                <w:sz w:val="20"/>
                <w:szCs w:val="20"/>
                <w:lang w:val="en-US" w:eastAsia="zh-CN"/>
              </w:rPr>
              <w:t>征集的</w:t>
            </w:r>
            <w:r>
              <w:rPr>
                <w:rFonts w:hint="eastAsia" w:ascii="仿宋_GB2312" w:hAnsi="仿宋_GB2312" w:eastAsia="仿宋_GB2312" w:cs="仿宋_GB2312"/>
                <w:snapToGrid/>
                <w:color w:val="auto"/>
                <w:sz w:val="20"/>
                <w:szCs w:val="20"/>
                <w:lang w:val="en-US" w:eastAsia="zh-Hans"/>
              </w:rPr>
              <w:t>产品</w:t>
            </w:r>
            <w:r>
              <w:rPr>
                <w:rFonts w:hint="eastAsia" w:ascii="仿宋_GB2312" w:hAnsi="仿宋_GB2312" w:eastAsia="仿宋_GB2312" w:cs="仿宋_GB2312"/>
                <w:snapToGrid/>
                <w:color w:val="auto"/>
                <w:sz w:val="20"/>
                <w:szCs w:val="20"/>
                <w:lang w:val="en-US" w:eastAsia="zh-CN"/>
              </w:rPr>
              <w:t>被列入</w:t>
            </w:r>
            <w:r>
              <w:rPr>
                <w:rFonts w:hint="eastAsia" w:ascii="仿宋_GB2312" w:hAnsi="仿宋_GB2312" w:eastAsia="仿宋_GB2312" w:cs="仿宋_GB2312"/>
                <w:snapToGrid/>
                <w:color w:val="auto"/>
                <w:sz w:val="20"/>
                <w:szCs w:val="20"/>
                <w:lang w:val="en-US" w:eastAsia="zh-Hans"/>
              </w:rPr>
              <w:t>《节能产品政府采购品目清单》中政府强制采购产品范围（以第三章 采购需求 注明的“是否强制节能产品”为准），</w:t>
            </w:r>
            <w:r>
              <w:rPr>
                <w:rFonts w:hint="eastAsia" w:ascii="仿宋_GB2312" w:hAnsi="仿宋_GB2312" w:eastAsia="仿宋_GB2312" w:cs="仿宋_GB2312"/>
                <w:snapToGrid/>
                <w:color w:val="auto"/>
                <w:sz w:val="20"/>
                <w:szCs w:val="20"/>
                <w:lang w:val="en-US" w:eastAsia="zh-CN"/>
              </w:rPr>
              <w:t>则投标（响应）供应商提供的此类</w:t>
            </w:r>
            <w:r>
              <w:rPr>
                <w:rFonts w:hint="eastAsia" w:ascii="仿宋_GB2312" w:hAnsi="仿宋_GB2312" w:eastAsia="仿宋_GB2312" w:cs="仿宋_GB2312"/>
                <w:snapToGrid/>
                <w:color w:val="auto"/>
                <w:sz w:val="20"/>
                <w:szCs w:val="20"/>
                <w:lang w:val="en-US" w:eastAsia="zh-Hans"/>
              </w:rPr>
              <w:t>产品</w:t>
            </w:r>
            <w:r>
              <w:rPr>
                <w:rFonts w:hint="eastAsia" w:ascii="仿宋_GB2312" w:hAnsi="仿宋_GB2312" w:eastAsia="仿宋_GB2312" w:cs="仿宋_GB2312"/>
                <w:snapToGrid/>
                <w:color w:val="auto"/>
                <w:sz w:val="20"/>
                <w:szCs w:val="20"/>
                <w:lang w:val="en-US" w:eastAsia="zh-CN"/>
              </w:rPr>
              <w:t>，必须</w:t>
            </w:r>
            <w:r>
              <w:rPr>
                <w:rFonts w:hint="eastAsia" w:ascii="仿宋_GB2312" w:hAnsi="仿宋_GB2312" w:eastAsia="仿宋_GB2312" w:cs="仿宋_GB2312"/>
                <w:snapToGrid/>
                <w:color w:val="auto"/>
                <w:sz w:val="20"/>
                <w:szCs w:val="20"/>
                <w:lang w:val="en-US" w:eastAsia="zh-Hans"/>
              </w:rPr>
              <w:t>获得依据国家确定的认证机构出具的、处于有效期之内的节能产品认证证书。</w:t>
            </w:r>
          </w:p>
        </w:tc>
        <w:tc>
          <w:tcPr>
            <w:tcW w:w="3922" w:type="dxa"/>
            <w:vAlign w:val="center"/>
          </w:tcPr>
          <w:p w14:paraId="59C91005">
            <w:pPr>
              <w:widowControl w:val="0"/>
              <w:jc w:val="both"/>
              <w:rPr>
                <w:rFonts w:hint="eastAsia" w:ascii="仿宋_GB2312" w:hAnsi="仿宋_GB2312" w:eastAsia="仿宋_GB2312" w:cs="仿宋_GB2312"/>
                <w:snapToGrid/>
                <w:color w:val="auto"/>
                <w:sz w:val="20"/>
                <w:szCs w:val="20"/>
                <w:lang w:val="en-US" w:eastAsia="zh-CN"/>
              </w:rPr>
            </w:pPr>
            <w:r>
              <w:rPr>
                <w:rFonts w:hint="eastAsia" w:ascii="仿宋_GB2312" w:hAnsi="仿宋_GB2312" w:eastAsia="仿宋_GB2312" w:cs="仿宋_GB2312"/>
                <w:snapToGrid/>
                <w:color w:val="auto"/>
                <w:sz w:val="20"/>
                <w:szCs w:val="20"/>
                <w:lang w:val="en-US" w:eastAsia="zh-CN"/>
              </w:rPr>
              <w:t>此类</w:t>
            </w:r>
            <w:r>
              <w:rPr>
                <w:rFonts w:hint="eastAsia" w:ascii="仿宋_GB2312" w:hAnsi="仿宋_GB2312" w:eastAsia="仿宋_GB2312" w:cs="仿宋_GB2312"/>
                <w:snapToGrid/>
                <w:color w:val="auto"/>
                <w:sz w:val="20"/>
                <w:szCs w:val="20"/>
                <w:lang w:val="en-US" w:eastAsia="zh-Hans"/>
              </w:rPr>
              <w:t>产品需提供依据《市场监管总局关于发布参与实施政府采购节能产品、环境标志产品认证机构名录的公告》（2019年第16号）确定的认证机构出具的、处于有效期之内的节能产品认证证书扫描件。</w:t>
            </w:r>
          </w:p>
        </w:tc>
      </w:tr>
      <w:tr w14:paraId="3B50F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2" w:type="dxa"/>
            <w:vAlign w:val="center"/>
          </w:tcPr>
          <w:p w14:paraId="49D81D20">
            <w:pPr>
              <w:pStyle w:val="11"/>
              <w:widowControl w:val="0"/>
              <w:numPr>
                <w:ilvl w:val="-1"/>
                <w:numId w:val="0"/>
              </w:numPr>
              <w:jc w:val="both"/>
              <w:rPr>
                <w:rFonts w:hint="default" w:ascii="仿宋_GB2312" w:hAnsi="仿宋_GB2312" w:eastAsia="仿宋_GB2312" w:cs="仿宋_GB2312"/>
                <w:vertAlign w:val="baseline"/>
                <w:lang w:val="en-US" w:eastAsia="zh-CN"/>
              </w:rPr>
            </w:pPr>
            <w:r>
              <w:rPr>
                <w:rFonts w:hint="eastAsia" w:ascii="仿宋_GB2312" w:hAnsi="仿宋_GB2312" w:eastAsia="仿宋_GB2312" w:cs="仿宋_GB2312"/>
                <w:vertAlign w:val="baseline"/>
                <w:lang w:val="en-US" w:eastAsia="zh-CN"/>
              </w:rPr>
              <w:t>3</w:t>
            </w:r>
          </w:p>
        </w:tc>
        <w:tc>
          <w:tcPr>
            <w:tcW w:w="3947" w:type="dxa"/>
            <w:vAlign w:val="center"/>
          </w:tcPr>
          <w:p w14:paraId="710AFF9F">
            <w:pPr>
              <w:pStyle w:val="11"/>
              <w:widowControl w:val="0"/>
              <w:jc w:val="both"/>
              <w:rPr>
                <w:rFonts w:hint="eastAsia" w:ascii="仿宋_GB2312" w:hAnsi="仿宋_GB2312" w:eastAsia="仿宋_GB2312" w:cs="仿宋_GB2312"/>
                <w:snapToGrid/>
                <w:color w:val="auto"/>
                <w:kern w:val="0"/>
                <w:sz w:val="20"/>
                <w:szCs w:val="20"/>
                <w:lang w:val="en-US" w:eastAsia="zh-Hans" w:bidi="ar-SA"/>
              </w:rPr>
            </w:pPr>
            <w:r>
              <w:rPr>
                <w:rFonts w:hint="eastAsia" w:ascii="仿宋_GB2312" w:hAnsi="仿宋_GB2312" w:eastAsia="仿宋_GB2312" w:cs="仿宋_GB2312"/>
                <w:snapToGrid/>
                <w:color w:val="auto"/>
                <w:kern w:val="0"/>
                <w:sz w:val="20"/>
                <w:szCs w:val="20"/>
                <w:lang w:val="en-US" w:eastAsia="zh-Hans" w:bidi="ar-SA"/>
              </w:rPr>
              <w:t>供应商投标（响应）的产品应当是市场上已有销售的规格型号，不得是专供政府采购的产品</w:t>
            </w:r>
            <w:r>
              <w:rPr>
                <w:rFonts w:hint="eastAsia" w:ascii="仿宋_GB2312" w:hAnsi="仿宋_GB2312" w:eastAsia="仿宋_GB2312" w:cs="仿宋_GB2312"/>
                <w:snapToGrid/>
                <w:color w:val="auto"/>
                <w:kern w:val="0"/>
                <w:sz w:val="20"/>
                <w:szCs w:val="20"/>
                <w:lang w:val="en-US" w:eastAsia="zh-CN" w:bidi="ar-SA"/>
              </w:rPr>
              <w:t>。</w:t>
            </w:r>
          </w:p>
          <w:p w14:paraId="027EB65A">
            <w:pPr>
              <w:widowControl w:val="0"/>
              <w:jc w:val="both"/>
              <w:rPr>
                <w:rFonts w:hint="eastAsia" w:ascii="仿宋_GB2312" w:hAnsi="仿宋_GB2312" w:eastAsia="仿宋_GB2312" w:cs="仿宋_GB2312"/>
                <w:snapToGrid/>
                <w:color w:val="auto"/>
                <w:sz w:val="20"/>
                <w:szCs w:val="20"/>
                <w:lang w:eastAsia="zh-Hans"/>
              </w:rPr>
            </w:pPr>
            <w:r>
              <w:rPr>
                <w:rFonts w:hint="eastAsia" w:ascii="仿宋_GB2312" w:hAnsi="仿宋_GB2312" w:eastAsia="仿宋_GB2312" w:cs="仿宋_GB2312"/>
                <w:snapToGrid/>
                <w:color w:val="auto"/>
                <w:kern w:val="0"/>
                <w:sz w:val="20"/>
                <w:szCs w:val="20"/>
                <w:lang w:val="en-US" w:eastAsia="zh-Hans" w:bidi="ar-SA"/>
              </w:rPr>
              <w:t>若入围后核查出属于专供政府采购的产品，产品将下架，并将相关情况报财政部门处理。</w:t>
            </w:r>
          </w:p>
        </w:tc>
        <w:tc>
          <w:tcPr>
            <w:tcW w:w="3922" w:type="dxa"/>
            <w:vAlign w:val="center"/>
          </w:tcPr>
          <w:p w14:paraId="249BBE43">
            <w:pPr>
              <w:pStyle w:val="11"/>
              <w:widowControl w:val="0"/>
              <w:jc w:val="both"/>
              <w:rPr>
                <w:rFonts w:hint="eastAsia" w:ascii="仿宋_GB2312" w:hAnsi="仿宋_GB2312" w:eastAsia="仿宋_GB2312" w:cs="仿宋_GB2312"/>
                <w:snapToGrid/>
                <w:color w:val="auto"/>
                <w:kern w:val="0"/>
                <w:sz w:val="20"/>
                <w:szCs w:val="20"/>
                <w:lang w:val="en-US" w:eastAsia="zh-Hans" w:bidi="ar-SA"/>
              </w:rPr>
            </w:pPr>
            <w:r>
              <w:rPr>
                <w:rFonts w:hint="eastAsia" w:ascii="仿宋_GB2312" w:hAnsi="仿宋_GB2312" w:eastAsia="仿宋_GB2312" w:cs="仿宋_GB2312"/>
                <w:snapToGrid/>
                <w:color w:val="auto"/>
                <w:kern w:val="0"/>
                <w:sz w:val="20"/>
                <w:szCs w:val="20"/>
                <w:lang w:val="en-US" w:eastAsia="zh-Hans" w:bidi="ar-SA"/>
              </w:rPr>
              <w:t>提供《产品市场销售承诺函》，并附上产品在政府采购项目（包括自行采购项目）以外的相关证明材料。证明材料可从以下类型中任选一项：发票、订单截图、挂网截图、销售合同。</w:t>
            </w:r>
          </w:p>
          <w:p w14:paraId="417CA4A9">
            <w:pPr>
              <w:pStyle w:val="11"/>
              <w:widowControl w:val="0"/>
              <w:jc w:val="both"/>
              <w:rPr>
                <w:rFonts w:hint="eastAsia" w:ascii="仿宋_GB2312" w:hAnsi="仿宋_GB2312" w:eastAsia="仿宋_GB2312" w:cs="仿宋_GB2312"/>
                <w:snapToGrid/>
                <w:color w:val="auto"/>
                <w:kern w:val="0"/>
                <w:sz w:val="20"/>
                <w:szCs w:val="20"/>
                <w:lang w:val="en-US" w:eastAsia="zh-Hans" w:bidi="ar-SA"/>
              </w:rPr>
            </w:pPr>
            <w:r>
              <w:rPr>
                <w:rFonts w:hint="eastAsia" w:ascii="仿宋_GB2312" w:hAnsi="仿宋_GB2312" w:eastAsia="仿宋_GB2312" w:cs="仿宋_GB2312"/>
                <w:snapToGrid/>
                <w:color w:val="auto"/>
                <w:kern w:val="0"/>
                <w:sz w:val="20"/>
                <w:szCs w:val="20"/>
                <w:lang w:val="en-US" w:eastAsia="zh-Hans" w:bidi="ar-SA"/>
              </w:rPr>
              <w:t>注：</w:t>
            </w:r>
            <w:r>
              <w:rPr>
                <w:rFonts w:hint="eastAsia" w:ascii="仿宋_GB2312" w:hAnsi="仿宋_GB2312" w:eastAsia="仿宋_GB2312" w:cs="仿宋_GB2312"/>
                <w:snapToGrid/>
                <w:color w:val="auto"/>
                <w:kern w:val="0"/>
                <w:sz w:val="20"/>
                <w:szCs w:val="20"/>
                <w:lang w:val="en-US" w:eastAsia="zh-CN" w:bidi="ar-SA"/>
              </w:rPr>
              <w:t>1.</w:t>
            </w:r>
            <w:r>
              <w:rPr>
                <w:rFonts w:hint="eastAsia" w:ascii="仿宋_GB2312" w:hAnsi="仿宋_GB2312" w:eastAsia="仿宋_GB2312" w:cs="仿宋_GB2312"/>
                <w:snapToGrid/>
                <w:color w:val="auto"/>
                <w:kern w:val="0"/>
                <w:sz w:val="20"/>
                <w:szCs w:val="20"/>
                <w:lang w:val="en-US" w:eastAsia="zh-Hans" w:bidi="ar-SA"/>
              </w:rPr>
              <w:t>此处所称“政府采购项目”，是指采购人为国家机关、事业单位或团体组织的项目，以及采用框架协议采购的政府采购项目。</w:t>
            </w:r>
          </w:p>
          <w:p w14:paraId="532088A3">
            <w:pPr>
              <w:pStyle w:val="11"/>
              <w:widowControl w:val="0"/>
              <w:jc w:val="both"/>
              <w:rPr>
                <w:rFonts w:hint="eastAsia"/>
                <w:lang w:val="en-US" w:eastAsia="zh-Hans"/>
              </w:rPr>
            </w:pPr>
            <w:r>
              <w:rPr>
                <w:rFonts w:hint="eastAsia" w:ascii="仿宋_GB2312" w:hAnsi="仿宋_GB2312" w:eastAsia="仿宋_GB2312" w:cs="仿宋_GB2312"/>
                <w:snapToGrid/>
                <w:color w:val="auto"/>
                <w:kern w:val="0"/>
                <w:sz w:val="20"/>
                <w:szCs w:val="20"/>
                <w:lang w:val="en-US" w:eastAsia="zh-CN" w:bidi="ar-SA"/>
              </w:rPr>
              <w:t>2.</w:t>
            </w:r>
            <w:r>
              <w:rPr>
                <w:rFonts w:hint="eastAsia" w:ascii="仿宋_GB2312" w:hAnsi="仿宋_GB2312" w:eastAsia="仿宋_GB2312" w:cs="仿宋_GB2312"/>
                <w:snapToGrid/>
                <w:color w:val="auto"/>
                <w:kern w:val="0"/>
                <w:sz w:val="20"/>
                <w:szCs w:val="20"/>
                <w:lang w:val="en-US" w:eastAsia="zh-Hans" w:bidi="ar-SA"/>
              </w:rPr>
              <w:t>所提供的证明材料须清晰体现投标（响应）产品的品牌型号。若材料信息不一致、模糊不清、无法辨认，或专家依据现有材料无法判断销售事实的，对应采购包按无效投标（响应）处理。</w:t>
            </w:r>
          </w:p>
        </w:tc>
      </w:tr>
      <w:tr w14:paraId="06F90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2" w:type="dxa"/>
            <w:vAlign w:val="center"/>
          </w:tcPr>
          <w:p w14:paraId="0C718274">
            <w:pPr>
              <w:pStyle w:val="11"/>
              <w:widowControl w:val="0"/>
              <w:numPr>
                <w:ilvl w:val="-1"/>
                <w:numId w:val="0"/>
              </w:numPr>
              <w:jc w:val="both"/>
              <w:rPr>
                <w:rFonts w:hint="eastAsia" w:ascii="仿宋_GB2312" w:hAnsi="仿宋_GB2312" w:eastAsia="仿宋_GB2312" w:cs="仿宋_GB2312"/>
                <w:vertAlign w:val="baseline"/>
                <w:lang w:val="en-US" w:eastAsia="zh-CN"/>
              </w:rPr>
            </w:pPr>
            <w:r>
              <w:rPr>
                <w:rFonts w:hint="eastAsia" w:ascii="仿宋_GB2312" w:hAnsi="仿宋_GB2312" w:eastAsia="仿宋_GB2312" w:cs="仿宋_GB2312"/>
                <w:vertAlign w:val="baseline"/>
                <w:lang w:val="en-US" w:eastAsia="zh-CN"/>
              </w:rPr>
              <w:t>4</w:t>
            </w:r>
          </w:p>
        </w:tc>
        <w:tc>
          <w:tcPr>
            <w:tcW w:w="3947" w:type="dxa"/>
            <w:vAlign w:val="center"/>
          </w:tcPr>
          <w:p w14:paraId="732C35C1">
            <w:pPr>
              <w:pStyle w:val="11"/>
              <w:widowControl w:val="0"/>
              <w:jc w:val="both"/>
              <w:rPr>
                <w:rFonts w:hint="default" w:ascii="仿宋_GB2312" w:hAnsi="仿宋_GB2312" w:eastAsia="仿宋_GB2312" w:cs="仿宋_GB2312"/>
                <w:vertAlign w:val="baseline"/>
                <w:lang w:val="en-US" w:eastAsia="zh-CN"/>
              </w:rPr>
            </w:pPr>
            <w:r>
              <w:rPr>
                <w:rFonts w:hint="eastAsia" w:ascii="仿宋_GB2312" w:hAnsi="仿宋_GB2312" w:eastAsia="仿宋_GB2312" w:cs="仿宋_GB2312"/>
                <w:color w:val="000000"/>
                <w:lang w:val="en-US" w:eastAsia="zh-CN"/>
              </w:rPr>
              <w:t>激光打印机</w:t>
            </w:r>
            <w:r>
              <w:rPr>
                <w:rFonts w:hint="eastAsia" w:ascii="仿宋_GB2312" w:hAnsi="仿宋_GB2312" w:eastAsia="仿宋_GB2312" w:cs="仿宋_GB2312"/>
                <w:snapToGrid/>
                <w:color w:val="auto"/>
                <w:kern w:val="0"/>
                <w:sz w:val="20"/>
                <w:szCs w:val="20"/>
                <w:lang w:val="en-US" w:eastAsia="zh-Hans" w:bidi="ar-SA"/>
              </w:rPr>
              <w:t>属于政府强制性产品认证范围，供应商投标（响应）的产品必须为3C认证产品</w:t>
            </w:r>
            <w:r>
              <w:rPr>
                <w:rFonts w:hint="eastAsia" w:ascii="仿宋_GB2312" w:hAnsi="仿宋_GB2312" w:eastAsia="仿宋_GB2312" w:cs="仿宋_GB2312"/>
                <w:snapToGrid/>
                <w:color w:val="auto"/>
                <w:kern w:val="0"/>
                <w:sz w:val="20"/>
                <w:szCs w:val="20"/>
                <w:lang w:val="en-US" w:eastAsia="zh-CN" w:bidi="ar-SA"/>
              </w:rPr>
              <w:t>。</w:t>
            </w:r>
          </w:p>
        </w:tc>
        <w:tc>
          <w:tcPr>
            <w:tcW w:w="3922" w:type="dxa"/>
            <w:vAlign w:val="center"/>
          </w:tcPr>
          <w:p w14:paraId="6B25A4E4">
            <w:pPr>
              <w:widowControl w:val="0"/>
              <w:jc w:val="both"/>
              <w:rPr>
                <w:rFonts w:hint="eastAsia" w:ascii="仿宋_GB2312" w:hAnsi="仿宋_GB2312" w:eastAsia="仿宋_GB2312" w:cs="仿宋_GB2312"/>
                <w:snapToGrid/>
                <w:color w:val="auto"/>
                <w:sz w:val="20"/>
                <w:szCs w:val="20"/>
                <w:lang w:val="en-US" w:eastAsia="zh-CN"/>
              </w:rPr>
            </w:pPr>
            <w:r>
              <w:rPr>
                <w:rFonts w:hint="eastAsia" w:ascii="仿宋_GB2312" w:hAnsi="仿宋_GB2312" w:eastAsia="仿宋_GB2312" w:cs="仿宋_GB2312"/>
                <w:snapToGrid/>
                <w:color w:val="auto"/>
                <w:kern w:val="0"/>
                <w:sz w:val="20"/>
                <w:szCs w:val="20"/>
                <w:lang w:val="en-US" w:eastAsia="zh-Hans" w:bidi="ar-SA"/>
              </w:rPr>
              <w:t>提供有效的3C认证证书扫描件。</w:t>
            </w:r>
          </w:p>
        </w:tc>
      </w:tr>
      <w:tr w14:paraId="033CE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2" w:type="dxa"/>
            <w:vAlign w:val="center"/>
          </w:tcPr>
          <w:p w14:paraId="1E7C5593">
            <w:pPr>
              <w:widowControl w:val="0"/>
              <w:jc w:val="both"/>
              <w:rPr>
                <w:rFonts w:hint="eastAsia" w:ascii="仿宋_GB2312" w:hAnsi="仿宋_GB2312" w:eastAsia="仿宋_GB2312" w:cs="仿宋_GB2312"/>
                <w:snapToGrid/>
                <w:color w:val="auto"/>
                <w:sz w:val="20"/>
                <w:szCs w:val="20"/>
                <w:vertAlign w:val="baseline"/>
                <w:lang w:eastAsia="zh-CN"/>
              </w:rPr>
            </w:pPr>
            <w:r>
              <w:rPr>
                <w:rFonts w:hint="eastAsia" w:ascii="仿宋_GB2312" w:hAnsi="仿宋_GB2312" w:eastAsia="仿宋_GB2312" w:cs="仿宋_GB2312"/>
                <w:snapToGrid/>
                <w:color w:val="auto"/>
                <w:sz w:val="20"/>
                <w:szCs w:val="20"/>
                <w:vertAlign w:val="baseline"/>
                <w:lang w:val="en-US" w:eastAsia="zh-CN"/>
              </w:rPr>
              <w:t>5</w:t>
            </w:r>
          </w:p>
        </w:tc>
        <w:tc>
          <w:tcPr>
            <w:tcW w:w="3947" w:type="dxa"/>
            <w:vAlign w:val="center"/>
          </w:tcPr>
          <w:p w14:paraId="4B3768FF">
            <w:pPr>
              <w:widowControl w:val="0"/>
              <w:jc w:val="both"/>
              <w:rPr>
                <w:rFonts w:hint="default" w:ascii="仿宋_GB2312" w:hAnsi="仿宋_GB2312" w:eastAsia="仿宋_GB2312" w:cs="仿宋_GB2312"/>
                <w:snapToGrid/>
                <w:color w:val="auto"/>
                <w:sz w:val="20"/>
                <w:szCs w:val="20"/>
                <w:lang w:val="en-US" w:eastAsia="zh-CN"/>
              </w:rPr>
            </w:pPr>
            <w:r>
              <w:rPr>
                <w:rFonts w:hint="eastAsia" w:ascii="仿宋_GB2312" w:hAnsi="仿宋_GB2312" w:eastAsia="仿宋_GB2312" w:cs="仿宋_GB2312"/>
                <w:snapToGrid/>
                <w:color w:val="auto"/>
                <w:kern w:val="0"/>
                <w:sz w:val="20"/>
                <w:szCs w:val="20"/>
                <w:lang w:val="en-US" w:eastAsia="zh-Hans" w:bidi="ar-SA"/>
              </w:rPr>
              <w:t>供应商在“适配的操作系统”中填写适配的所有操作系统，</w:t>
            </w:r>
            <w:r>
              <w:rPr>
                <w:rFonts w:hint="eastAsia" w:ascii="仿宋_GB2312" w:hAnsi="仿宋_GB2312" w:eastAsia="仿宋_GB2312" w:cs="仿宋_GB2312"/>
                <w:snapToGrid/>
                <w:color w:val="auto"/>
                <w:kern w:val="0"/>
                <w:sz w:val="20"/>
                <w:szCs w:val="20"/>
                <w:lang w:val="en-US" w:eastAsia="zh-CN" w:bidi="ar-SA"/>
              </w:rPr>
              <w:t>所投采购包</w:t>
            </w:r>
            <w:r>
              <w:rPr>
                <w:rFonts w:hint="eastAsia" w:ascii="仿宋_GB2312" w:hAnsi="仿宋_GB2312" w:eastAsia="仿宋_GB2312" w:cs="仿宋_GB2312"/>
                <w:snapToGrid/>
                <w:color w:val="auto"/>
                <w:kern w:val="0"/>
                <w:sz w:val="20"/>
                <w:szCs w:val="20"/>
                <w:lang w:val="en-US" w:eastAsia="zh-Hans" w:bidi="ar-SA"/>
              </w:rPr>
              <w:t>填写的“适配的操作系统”中须至少有一个符合安全可靠测评要求的操作系统。</w:t>
            </w:r>
          </w:p>
        </w:tc>
        <w:tc>
          <w:tcPr>
            <w:tcW w:w="3922" w:type="dxa"/>
            <w:vAlign w:val="center"/>
          </w:tcPr>
          <w:p w14:paraId="7F4D8613">
            <w:pPr>
              <w:widowControl w:val="0"/>
              <w:jc w:val="both"/>
              <w:rPr>
                <w:rFonts w:hint="eastAsia" w:ascii="仿宋_GB2312" w:hAnsi="仿宋_GB2312" w:eastAsia="仿宋_GB2312" w:cs="仿宋_GB2312"/>
                <w:b w:val="0"/>
                <w:bCs w:val="0"/>
                <w:snapToGrid/>
                <w:color w:val="auto"/>
                <w:sz w:val="20"/>
                <w:szCs w:val="20"/>
                <w:lang w:val="en-US" w:eastAsia="zh-CN"/>
              </w:rPr>
            </w:pPr>
            <w:r>
              <w:rPr>
                <w:rFonts w:hint="eastAsia" w:ascii="仿宋_GB2312" w:hAnsi="仿宋_GB2312" w:eastAsia="仿宋_GB2312" w:cs="仿宋_GB2312"/>
                <w:snapToGrid/>
                <w:color w:val="auto"/>
                <w:sz w:val="20"/>
                <w:szCs w:val="20"/>
                <w:lang w:val="en-US" w:eastAsia="zh-Hans"/>
              </w:rPr>
              <w:t>提供《产品技术参数表》《适配符合安全可靠测评要求操作系统的承诺函》。</w:t>
            </w:r>
          </w:p>
        </w:tc>
      </w:tr>
    </w:tbl>
    <w:p w14:paraId="43D41219">
      <w:pPr>
        <w:pStyle w:val="11"/>
        <w:jc w:val="left"/>
        <w:rPr>
          <w:rFonts w:hint="eastAsia" w:ascii="仿宋_GB2312" w:hAnsi="仿宋_GB2312" w:eastAsia="仿宋_GB2312" w:cs="仿宋_GB2312"/>
          <w:b/>
          <w:bCs/>
          <w:highlight w:val="yellow"/>
        </w:rPr>
      </w:pPr>
    </w:p>
    <w:p w14:paraId="473398F6">
      <w:pPr>
        <w:pStyle w:val="11"/>
        <w:jc w:val="left"/>
        <w:rPr>
          <w:rFonts w:hint="eastAsia" w:ascii="仿宋_GB2312" w:hAnsi="仿宋_GB2312" w:eastAsia="仿宋_GB2312" w:cs="仿宋_GB2312"/>
          <w:b/>
          <w:bCs/>
          <w:color w:val="FF0000"/>
          <w:highlight w:val="none"/>
        </w:rPr>
      </w:pPr>
      <w:r>
        <w:rPr>
          <w:rFonts w:hint="eastAsia" w:ascii="仿宋_GB2312" w:hAnsi="仿宋_GB2312" w:eastAsia="仿宋_GB2312" w:cs="仿宋_GB2312"/>
          <w:b/>
          <w:bCs/>
          <w:color w:val="FF0000"/>
          <w:highlight w:val="none"/>
        </w:rPr>
        <w:t>特别提示：</w:t>
      </w:r>
      <w:r>
        <w:rPr>
          <w:rFonts w:hint="eastAsia" w:ascii="仿宋_GB2312" w:hAnsi="仿宋_GB2312" w:eastAsia="仿宋_GB2312" w:cs="仿宋_GB2312"/>
          <w:b/>
          <w:bCs/>
          <w:color w:val="FF0000"/>
          <w:highlight w:val="none"/>
          <w:lang w:val="en-US" w:eastAsia="zh-CN"/>
        </w:rPr>
        <w:t>1.</w:t>
      </w:r>
      <w:r>
        <w:rPr>
          <w:rFonts w:hint="eastAsia" w:ascii="仿宋_GB2312" w:hAnsi="仿宋_GB2312" w:eastAsia="仿宋_GB2312" w:cs="仿宋_GB2312"/>
          <w:b/>
          <w:bCs/>
          <w:color w:val="FF0000"/>
          <w:highlight w:val="none"/>
          <w:lang w:val="en-US" w:eastAsia="zh-Hans"/>
        </w:rPr>
        <w:t>上表所列内容为不可负偏离条款，如未响应或出现负偏离的，将视为未实质性满足征集文件要求，对应采购包作无效投标（响应）处理。</w:t>
      </w:r>
    </w:p>
    <w:p w14:paraId="0B3C4439">
      <w:pPr>
        <w:pStyle w:val="11"/>
        <w:numPr>
          <w:ilvl w:val="0"/>
          <w:numId w:val="1"/>
        </w:numPr>
        <w:jc w:val="left"/>
        <w:outlineLvl w:val="2"/>
        <w:rPr>
          <w:rFonts w:hint="eastAsia" w:ascii="仿宋_GB2312" w:hAnsi="仿宋_GB2312" w:eastAsia="仿宋_GB2312" w:cs="仿宋_GB2312"/>
          <w:b/>
          <w:bCs/>
          <w:color w:val="FF0000"/>
          <w:highlight w:val="none"/>
          <w:lang w:eastAsia="zh-CN"/>
        </w:rPr>
      </w:pPr>
      <w:r>
        <w:rPr>
          <w:rFonts w:hint="eastAsia" w:ascii="仿宋_GB2312" w:hAnsi="仿宋_GB2312" w:eastAsia="仿宋_GB2312" w:cs="仿宋_GB2312"/>
          <w:b/>
          <w:bCs/>
          <w:color w:val="FF0000"/>
          <w:highlight w:val="none"/>
        </w:rPr>
        <w:t>投标（响应）</w:t>
      </w:r>
      <w:r>
        <w:rPr>
          <w:rFonts w:hint="eastAsia" w:ascii="仿宋_GB2312" w:hAnsi="仿宋_GB2312" w:eastAsia="仿宋_GB2312" w:cs="仿宋_GB2312"/>
          <w:b/>
          <w:bCs/>
          <w:color w:val="FF0000"/>
          <w:highlight w:val="none"/>
          <w:lang w:val="en-US" w:eastAsia="zh-CN"/>
        </w:rPr>
        <w:t>供应商</w:t>
      </w:r>
      <w:r>
        <w:rPr>
          <w:rFonts w:hint="eastAsia" w:ascii="仿宋_GB2312" w:hAnsi="仿宋_GB2312" w:eastAsia="仿宋_GB2312" w:cs="仿宋_GB2312"/>
          <w:b/>
          <w:bCs/>
          <w:color w:val="FF0000"/>
          <w:highlight w:val="none"/>
        </w:rPr>
        <w:t>须按本</w:t>
      </w:r>
      <w:r>
        <w:rPr>
          <w:rFonts w:hint="eastAsia" w:ascii="仿宋_GB2312" w:hAnsi="仿宋_GB2312" w:eastAsia="仿宋_GB2312" w:cs="仿宋_GB2312"/>
          <w:b/>
          <w:bCs/>
          <w:color w:val="FF0000"/>
          <w:highlight w:val="none"/>
          <w:lang w:val="en-US" w:eastAsia="zh-CN"/>
        </w:rPr>
        <w:t>征集</w:t>
      </w:r>
      <w:r>
        <w:rPr>
          <w:rFonts w:hint="eastAsia" w:ascii="仿宋_GB2312" w:hAnsi="仿宋_GB2312" w:eastAsia="仿宋_GB2312" w:cs="仿宋_GB2312"/>
          <w:b/>
          <w:bCs/>
          <w:color w:val="FF0000"/>
          <w:highlight w:val="none"/>
        </w:rPr>
        <w:t>文件</w:t>
      </w:r>
      <w:r>
        <w:rPr>
          <w:rFonts w:hint="eastAsia" w:ascii="仿宋_GB2312" w:hAnsi="仿宋_GB2312" w:eastAsia="仿宋_GB2312" w:cs="仿宋_GB2312"/>
          <w:b/>
          <w:bCs/>
          <w:color w:val="FF0000"/>
          <w:highlight w:val="none"/>
          <w:lang w:val="en-US" w:eastAsia="zh-CN"/>
        </w:rPr>
        <w:t>“</w:t>
      </w:r>
      <w:r>
        <w:rPr>
          <w:rFonts w:hint="eastAsia" w:ascii="仿宋_GB2312" w:hAnsi="仿宋_GB2312" w:eastAsia="仿宋_GB2312" w:cs="仿宋_GB2312"/>
          <w:b/>
          <w:bCs/>
          <w:color w:val="FF0000"/>
          <w:highlight w:val="none"/>
          <w:lang w:eastAsia="zh-CN"/>
        </w:rPr>
        <w:t>投标（响应）</w:t>
      </w:r>
      <w:r>
        <w:rPr>
          <w:rFonts w:hint="eastAsia" w:ascii="仿宋_GB2312" w:hAnsi="仿宋_GB2312" w:eastAsia="仿宋_GB2312" w:cs="仿宋_GB2312"/>
          <w:b/>
          <w:bCs/>
          <w:color w:val="FF0000"/>
          <w:highlight w:val="none"/>
        </w:rPr>
        <w:t>文件格式</w:t>
      </w:r>
      <w:r>
        <w:rPr>
          <w:rFonts w:hint="eastAsia" w:ascii="仿宋_GB2312" w:hAnsi="仿宋_GB2312" w:eastAsia="仿宋_GB2312" w:cs="仿宋_GB2312"/>
          <w:b/>
          <w:bCs/>
          <w:color w:val="FF0000"/>
          <w:highlight w:val="none"/>
          <w:lang w:val="en-US" w:eastAsia="zh-CN"/>
        </w:rPr>
        <w:t>”</w:t>
      </w:r>
      <w:r>
        <w:rPr>
          <w:rFonts w:hint="eastAsia" w:ascii="仿宋_GB2312" w:hAnsi="仿宋_GB2312" w:eastAsia="仿宋_GB2312" w:cs="仿宋_GB2312"/>
          <w:b/>
          <w:bCs/>
          <w:color w:val="FF0000"/>
          <w:highlight w:val="none"/>
        </w:rPr>
        <w:t>模板要求提供</w:t>
      </w:r>
      <w:r>
        <w:rPr>
          <w:rFonts w:hint="eastAsia" w:ascii="仿宋_GB2312" w:hAnsi="仿宋_GB2312" w:eastAsia="仿宋_GB2312" w:cs="仿宋_GB2312"/>
          <w:b/>
          <w:bCs/>
          <w:color w:val="FF0000"/>
          <w:highlight w:val="none"/>
          <w:lang w:val="en-US" w:eastAsia="zh-CN"/>
        </w:rPr>
        <w:t>相关材料</w:t>
      </w:r>
      <w:r>
        <w:rPr>
          <w:rFonts w:hint="eastAsia" w:ascii="仿宋_GB2312" w:hAnsi="仿宋_GB2312" w:eastAsia="仿宋_GB2312" w:cs="仿宋_GB2312"/>
          <w:b/>
          <w:bCs/>
          <w:color w:val="FF0000"/>
          <w:highlight w:val="none"/>
        </w:rPr>
        <w:t>，</w:t>
      </w:r>
      <w:r>
        <w:rPr>
          <w:rFonts w:hint="eastAsia" w:ascii="仿宋_GB2312" w:hAnsi="仿宋_GB2312" w:eastAsia="仿宋_GB2312" w:cs="仿宋_GB2312"/>
          <w:b/>
          <w:bCs/>
          <w:color w:val="FF0000"/>
          <w:highlight w:val="none"/>
          <w:lang w:val="en-US" w:eastAsia="zh-CN"/>
        </w:rPr>
        <w:t>任何实质性的变动都可能影响投标</w:t>
      </w:r>
      <w:r>
        <w:rPr>
          <w:rFonts w:hint="eastAsia" w:ascii="仿宋_GB2312" w:hAnsi="仿宋_GB2312" w:eastAsia="仿宋_GB2312" w:cs="仿宋_GB2312"/>
          <w:b/>
          <w:bCs/>
          <w:color w:val="FF0000"/>
          <w:highlight w:val="none"/>
        </w:rPr>
        <w:t>（响应）</w:t>
      </w:r>
      <w:r>
        <w:rPr>
          <w:rFonts w:hint="eastAsia" w:ascii="仿宋_GB2312" w:hAnsi="仿宋_GB2312" w:eastAsia="仿宋_GB2312" w:cs="仿宋_GB2312"/>
          <w:b/>
          <w:bCs/>
          <w:color w:val="FF0000"/>
          <w:highlight w:val="none"/>
          <w:lang w:val="en-US" w:eastAsia="zh-CN"/>
        </w:rPr>
        <w:t>有效性</w:t>
      </w:r>
      <w:r>
        <w:rPr>
          <w:rFonts w:hint="eastAsia" w:ascii="仿宋_GB2312" w:hAnsi="仿宋_GB2312" w:eastAsia="仿宋_GB2312" w:cs="仿宋_GB2312"/>
          <w:b/>
          <w:bCs/>
          <w:color w:val="FF0000"/>
          <w:highlight w:val="none"/>
          <w:lang w:eastAsia="zh-CN"/>
        </w:rPr>
        <w:t>。</w:t>
      </w:r>
    </w:p>
    <w:p w14:paraId="6C482253">
      <w:pPr>
        <w:pStyle w:val="11"/>
        <w:numPr>
          <w:ilvl w:val="0"/>
          <w:numId w:val="0"/>
        </w:numPr>
        <w:jc w:val="left"/>
        <w:outlineLvl w:val="2"/>
        <w:rPr>
          <w:rFonts w:ascii="仿宋_GB2312" w:hAnsi="仿宋_GB2312" w:eastAsia="仿宋_GB2312" w:cs="仿宋_GB2312"/>
          <w:b/>
          <w:sz w:val="28"/>
        </w:rPr>
      </w:pPr>
      <w:r>
        <w:rPr>
          <w:rFonts w:hint="eastAsia" w:ascii="仿宋_GB2312" w:hAnsi="仿宋_GB2312" w:eastAsia="仿宋_GB2312" w:cs="仿宋_GB2312"/>
          <w:b/>
          <w:sz w:val="28"/>
          <w:lang w:val="en-US" w:eastAsia="zh-CN"/>
        </w:rPr>
        <w:t>四、</w:t>
      </w:r>
      <w:r>
        <w:rPr>
          <w:rFonts w:ascii="仿宋_GB2312" w:hAnsi="仿宋_GB2312" w:eastAsia="仿宋_GB2312" w:cs="仿宋_GB2312"/>
          <w:b/>
          <w:sz w:val="28"/>
        </w:rPr>
        <w:t>商务要求</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5"/>
        <w:gridCol w:w="1784"/>
        <w:gridCol w:w="5394"/>
      </w:tblGrid>
      <w:tr w14:paraId="26617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dxa"/>
            <w:tcMar>
              <w:top w:w="0" w:type="dxa"/>
              <w:left w:w="105" w:type="dxa"/>
              <w:bottom w:w="0" w:type="dxa"/>
              <w:right w:w="105" w:type="dxa"/>
            </w:tcMar>
            <w:vAlign w:val="center"/>
          </w:tcPr>
          <w:p w14:paraId="3BE14E10">
            <w:pPr>
              <w:pStyle w:val="11"/>
              <w:jc w:val="both"/>
            </w:pPr>
            <w:r>
              <w:rPr>
                <w:rFonts w:ascii="仿宋_GB2312" w:hAnsi="仿宋_GB2312" w:eastAsia="仿宋_GB2312" w:cs="仿宋_GB2312"/>
                <w:sz w:val="19"/>
              </w:rPr>
              <w:t>序号</w:t>
            </w:r>
          </w:p>
        </w:tc>
        <w:tc>
          <w:tcPr>
            <w:tcW w:w="1784" w:type="dxa"/>
            <w:tcMar>
              <w:top w:w="0" w:type="dxa"/>
              <w:left w:w="105" w:type="dxa"/>
              <w:bottom w:w="0" w:type="dxa"/>
              <w:right w:w="105" w:type="dxa"/>
            </w:tcMar>
            <w:vAlign w:val="center"/>
          </w:tcPr>
          <w:p w14:paraId="0C76645B">
            <w:pPr>
              <w:pStyle w:val="11"/>
              <w:jc w:val="both"/>
            </w:pPr>
            <w:r>
              <w:rPr>
                <w:rFonts w:ascii="仿宋_GB2312" w:hAnsi="仿宋_GB2312" w:eastAsia="仿宋_GB2312" w:cs="仿宋_GB2312"/>
                <w:sz w:val="19"/>
              </w:rPr>
              <w:t>类型</w:t>
            </w:r>
          </w:p>
        </w:tc>
        <w:tc>
          <w:tcPr>
            <w:tcW w:w="5394" w:type="dxa"/>
            <w:tcMar>
              <w:top w:w="0" w:type="dxa"/>
              <w:left w:w="105" w:type="dxa"/>
              <w:bottom w:w="0" w:type="dxa"/>
              <w:right w:w="105" w:type="dxa"/>
            </w:tcMar>
            <w:vAlign w:val="center"/>
          </w:tcPr>
          <w:p w14:paraId="510E1E04">
            <w:pPr>
              <w:pStyle w:val="11"/>
              <w:jc w:val="both"/>
            </w:pPr>
            <w:r>
              <w:rPr>
                <w:rFonts w:ascii="仿宋_GB2312" w:hAnsi="仿宋_GB2312" w:eastAsia="仿宋_GB2312" w:cs="仿宋_GB2312"/>
                <w:sz w:val="19"/>
              </w:rPr>
              <w:t>要求</w:t>
            </w:r>
          </w:p>
        </w:tc>
      </w:tr>
      <w:tr w14:paraId="15ADD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dxa"/>
            <w:tcMar>
              <w:top w:w="0" w:type="dxa"/>
              <w:left w:w="105" w:type="dxa"/>
              <w:bottom w:w="0" w:type="dxa"/>
              <w:right w:w="105" w:type="dxa"/>
            </w:tcMar>
            <w:vAlign w:val="center"/>
          </w:tcPr>
          <w:p w14:paraId="10EFA148">
            <w:pPr>
              <w:pStyle w:val="11"/>
              <w:jc w:val="both"/>
            </w:pPr>
            <w:r>
              <w:rPr>
                <w:rFonts w:ascii="仿宋_GB2312" w:hAnsi="仿宋_GB2312" w:eastAsia="仿宋_GB2312" w:cs="仿宋_GB2312"/>
                <w:sz w:val="19"/>
              </w:rPr>
              <w:t>1</w:t>
            </w:r>
          </w:p>
        </w:tc>
        <w:tc>
          <w:tcPr>
            <w:tcW w:w="1784" w:type="dxa"/>
            <w:tcMar>
              <w:top w:w="0" w:type="dxa"/>
              <w:left w:w="105" w:type="dxa"/>
              <w:bottom w:w="0" w:type="dxa"/>
              <w:right w:w="105" w:type="dxa"/>
            </w:tcMar>
            <w:vAlign w:val="center"/>
          </w:tcPr>
          <w:p w14:paraId="5C2D0084">
            <w:pPr>
              <w:pStyle w:val="11"/>
              <w:jc w:val="both"/>
            </w:pPr>
            <w:r>
              <w:rPr>
                <w:rFonts w:ascii="仿宋_GB2312" w:hAnsi="仿宋_GB2312" w:eastAsia="仿宋_GB2312" w:cs="仿宋_GB2312"/>
                <w:sz w:val="19"/>
              </w:rPr>
              <w:t>支付方式</w:t>
            </w:r>
          </w:p>
        </w:tc>
        <w:tc>
          <w:tcPr>
            <w:tcW w:w="5394" w:type="dxa"/>
            <w:tcMar>
              <w:top w:w="0" w:type="dxa"/>
              <w:left w:w="105" w:type="dxa"/>
              <w:bottom w:w="0" w:type="dxa"/>
              <w:right w:w="105" w:type="dxa"/>
            </w:tcMar>
            <w:vAlign w:val="center"/>
          </w:tcPr>
          <w:p w14:paraId="7937107C">
            <w:pPr>
              <w:pStyle w:val="11"/>
              <w:jc w:val="both"/>
            </w:pPr>
            <w:r>
              <w:rPr>
                <w:rFonts w:ascii="仿宋_GB2312" w:hAnsi="仿宋_GB2312" w:eastAsia="仿宋_GB2312" w:cs="仿宋_GB2312"/>
                <w:sz w:val="19"/>
              </w:rPr>
              <w:t>一次付清或多次付清。</w:t>
            </w:r>
          </w:p>
        </w:tc>
      </w:tr>
      <w:tr w14:paraId="2FE8F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45" w:type="dxa"/>
            <w:tcMar>
              <w:top w:w="0" w:type="dxa"/>
              <w:left w:w="105" w:type="dxa"/>
              <w:bottom w:w="0" w:type="dxa"/>
              <w:right w:w="105" w:type="dxa"/>
            </w:tcMar>
            <w:vAlign w:val="center"/>
          </w:tcPr>
          <w:p w14:paraId="6042CA93">
            <w:pPr>
              <w:pStyle w:val="11"/>
              <w:jc w:val="both"/>
            </w:pPr>
            <w:r>
              <w:rPr>
                <w:rFonts w:ascii="仿宋_GB2312" w:hAnsi="仿宋_GB2312" w:eastAsia="仿宋_GB2312" w:cs="仿宋_GB2312"/>
                <w:sz w:val="19"/>
              </w:rPr>
              <w:t>2</w:t>
            </w:r>
          </w:p>
        </w:tc>
        <w:tc>
          <w:tcPr>
            <w:tcW w:w="1784" w:type="dxa"/>
            <w:tcMar>
              <w:top w:w="0" w:type="dxa"/>
              <w:left w:w="105" w:type="dxa"/>
              <w:bottom w:w="0" w:type="dxa"/>
              <w:right w:w="105" w:type="dxa"/>
            </w:tcMar>
            <w:vAlign w:val="center"/>
          </w:tcPr>
          <w:p w14:paraId="33B57785">
            <w:pPr>
              <w:pStyle w:val="11"/>
              <w:jc w:val="both"/>
            </w:pPr>
            <w:r>
              <w:rPr>
                <w:rFonts w:ascii="仿宋_GB2312" w:hAnsi="仿宋_GB2312" w:eastAsia="仿宋_GB2312" w:cs="仿宋_GB2312"/>
                <w:sz w:val="19"/>
              </w:rPr>
              <w:t>交货期限</w:t>
            </w:r>
          </w:p>
        </w:tc>
        <w:tc>
          <w:tcPr>
            <w:tcW w:w="5394" w:type="dxa"/>
            <w:tcMar>
              <w:top w:w="0" w:type="dxa"/>
              <w:left w:w="105" w:type="dxa"/>
              <w:bottom w:w="0" w:type="dxa"/>
              <w:right w:w="105" w:type="dxa"/>
            </w:tcMar>
            <w:vAlign w:val="center"/>
          </w:tcPr>
          <w:p w14:paraId="089C9F46">
            <w:pPr>
              <w:pStyle w:val="11"/>
              <w:jc w:val="both"/>
            </w:pPr>
            <w:r>
              <w:rPr>
                <w:rFonts w:ascii="仿宋_GB2312" w:hAnsi="仿宋_GB2312" w:eastAsia="仿宋_GB2312" w:cs="仿宋_GB2312"/>
                <w:sz w:val="19"/>
              </w:rPr>
              <w:t>7个工作日内完成交货，采购双方协商一致的除外。</w:t>
            </w:r>
          </w:p>
        </w:tc>
      </w:tr>
      <w:tr w14:paraId="183DE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45" w:type="dxa"/>
            <w:tcMar>
              <w:top w:w="0" w:type="dxa"/>
              <w:left w:w="105" w:type="dxa"/>
              <w:bottom w:w="0" w:type="dxa"/>
              <w:right w:w="105" w:type="dxa"/>
            </w:tcMar>
            <w:vAlign w:val="center"/>
          </w:tcPr>
          <w:p w14:paraId="00C30EE4">
            <w:pPr>
              <w:pStyle w:val="11"/>
              <w:jc w:val="both"/>
            </w:pPr>
            <w:r>
              <w:rPr>
                <w:rFonts w:ascii="仿宋_GB2312" w:hAnsi="仿宋_GB2312" w:eastAsia="仿宋_GB2312" w:cs="仿宋_GB2312"/>
                <w:sz w:val="19"/>
              </w:rPr>
              <w:t>3</w:t>
            </w:r>
          </w:p>
        </w:tc>
        <w:tc>
          <w:tcPr>
            <w:tcW w:w="1784" w:type="dxa"/>
            <w:tcMar>
              <w:top w:w="0" w:type="dxa"/>
              <w:left w:w="105" w:type="dxa"/>
              <w:bottom w:w="0" w:type="dxa"/>
              <w:right w:w="105" w:type="dxa"/>
            </w:tcMar>
            <w:vAlign w:val="center"/>
          </w:tcPr>
          <w:p w14:paraId="10D8BA75">
            <w:pPr>
              <w:pStyle w:val="11"/>
              <w:jc w:val="both"/>
            </w:pPr>
            <w:r>
              <w:rPr>
                <w:rFonts w:ascii="仿宋_GB2312" w:hAnsi="仿宋_GB2312" w:eastAsia="仿宋_GB2312" w:cs="仿宋_GB2312"/>
                <w:sz w:val="19"/>
              </w:rPr>
              <w:t>交货的地域范围</w:t>
            </w:r>
          </w:p>
        </w:tc>
        <w:tc>
          <w:tcPr>
            <w:tcW w:w="5394" w:type="dxa"/>
            <w:tcMar>
              <w:top w:w="0" w:type="dxa"/>
              <w:left w:w="105" w:type="dxa"/>
              <w:bottom w:w="0" w:type="dxa"/>
              <w:right w:w="105" w:type="dxa"/>
            </w:tcMar>
            <w:vAlign w:val="center"/>
          </w:tcPr>
          <w:p w14:paraId="2AEDBEF8">
            <w:pPr>
              <w:pStyle w:val="11"/>
              <w:jc w:val="both"/>
            </w:pPr>
            <w:r>
              <w:rPr>
                <w:rFonts w:ascii="仿宋_GB2312" w:hAnsi="仿宋_GB2312" w:eastAsia="仿宋_GB2312" w:cs="仿宋_GB2312"/>
                <w:sz w:val="19"/>
              </w:rPr>
              <w:t>深圳市</w:t>
            </w:r>
            <w:r>
              <w:rPr>
                <w:rFonts w:hint="eastAsia" w:ascii="仿宋_GB2312" w:hAnsi="仿宋_GB2312" w:eastAsia="仿宋_GB2312" w:cs="仿宋_GB2312"/>
                <w:sz w:val="19"/>
                <w:lang w:val="en-US" w:eastAsia="zh-CN"/>
              </w:rPr>
              <w:t>,包含</w:t>
            </w:r>
            <w:r>
              <w:rPr>
                <w:rFonts w:ascii="仿宋_GB2312" w:hAnsi="仿宋_GB2312" w:eastAsia="仿宋_GB2312" w:cs="仿宋_GB2312"/>
                <w:sz w:val="19"/>
              </w:rPr>
              <w:t>市本级、罗湖区、福田区、南山区、宝安区、龙岗区、盐田区、龙华区、坪山区、光明区、大鹏新区、深汕特别行政区。</w:t>
            </w:r>
          </w:p>
        </w:tc>
      </w:tr>
      <w:tr w14:paraId="3D268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dxa"/>
            <w:tcMar>
              <w:top w:w="0" w:type="dxa"/>
              <w:left w:w="105" w:type="dxa"/>
              <w:bottom w:w="0" w:type="dxa"/>
              <w:right w:w="105" w:type="dxa"/>
            </w:tcMar>
            <w:vAlign w:val="center"/>
          </w:tcPr>
          <w:p w14:paraId="3FF67432">
            <w:pPr>
              <w:pStyle w:val="11"/>
              <w:jc w:val="both"/>
            </w:pPr>
            <w:r>
              <w:rPr>
                <w:rFonts w:ascii="仿宋_GB2312" w:hAnsi="仿宋_GB2312" w:eastAsia="仿宋_GB2312" w:cs="仿宋_GB2312"/>
                <w:sz w:val="19"/>
              </w:rPr>
              <w:t>4</w:t>
            </w:r>
          </w:p>
        </w:tc>
        <w:tc>
          <w:tcPr>
            <w:tcW w:w="1784" w:type="dxa"/>
            <w:tcMar>
              <w:top w:w="0" w:type="dxa"/>
              <w:left w:w="105" w:type="dxa"/>
              <w:bottom w:w="0" w:type="dxa"/>
              <w:right w:w="105" w:type="dxa"/>
            </w:tcMar>
            <w:vAlign w:val="center"/>
          </w:tcPr>
          <w:p w14:paraId="7051991A">
            <w:pPr>
              <w:pStyle w:val="11"/>
              <w:jc w:val="both"/>
            </w:pPr>
            <w:r>
              <w:rPr>
                <w:rFonts w:ascii="仿宋_GB2312" w:hAnsi="仿宋_GB2312" w:eastAsia="仿宋_GB2312" w:cs="仿宋_GB2312"/>
                <w:sz w:val="19"/>
              </w:rPr>
              <w:t>产品升级换代规则</w:t>
            </w:r>
          </w:p>
        </w:tc>
        <w:tc>
          <w:tcPr>
            <w:tcW w:w="5394" w:type="dxa"/>
            <w:tcMar>
              <w:top w:w="0" w:type="dxa"/>
              <w:left w:w="105" w:type="dxa"/>
              <w:bottom w:w="0" w:type="dxa"/>
              <w:right w:w="105" w:type="dxa"/>
            </w:tcMar>
            <w:vAlign w:val="center"/>
          </w:tcPr>
          <w:p w14:paraId="77B4607A">
            <w:pPr>
              <w:pStyle w:val="11"/>
              <w:jc w:val="both"/>
            </w:pPr>
            <w:r>
              <w:rPr>
                <w:rFonts w:ascii="仿宋_GB2312" w:hAnsi="仿宋_GB2312" w:eastAsia="仿宋_GB2312" w:cs="仿宋_GB2312"/>
                <w:sz w:val="19"/>
              </w:rPr>
              <w:t>支持。</w:t>
            </w:r>
          </w:p>
          <w:p w14:paraId="59E6DED3">
            <w:pPr>
              <w:pStyle w:val="11"/>
              <w:jc w:val="both"/>
            </w:pPr>
            <w:r>
              <w:rPr>
                <w:rFonts w:ascii="仿宋_GB2312" w:hAnsi="仿宋_GB2312" w:eastAsia="仿宋_GB2312" w:cs="仿宋_GB2312"/>
                <w:sz w:val="19"/>
              </w:rPr>
              <w:t>因产品升级换代，在质量不降低、价格不提高的前提下，入围供应商可用新产品替代原入围产品，由征集人对该情形进行审核。若产品市场价格下降，入围供应商应及时下调产品价格。</w:t>
            </w:r>
          </w:p>
        </w:tc>
      </w:tr>
      <w:tr w14:paraId="57904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dxa"/>
            <w:tcMar>
              <w:top w:w="0" w:type="dxa"/>
              <w:left w:w="105" w:type="dxa"/>
              <w:bottom w:w="0" w:type="dxa"/>
              <w:right w:w="105" w:type="dxa"/>
            </w:tcMar>
            <w:vAlign w:val="center"/>
          </w:tcPr>
          <w:p w14:paraId="134D9A25">
            <w:pPr>
              <w:pStyle w:val="11"/>
              <w:jc w:val="both"/>
            </w:pPr>
            <w:r>
              <w:rPr>
                <w:rFonts w:ascii="仿宋_GB2312" w:hAnsi="仿宋_GB2312" w:eastAsia="仿宋_GB2312" w:cs="仿宋_GB2312"/>
                <w:sz w:val="19"/>
              </w:rPr>
              <w:t>5</w:t>
            </w:r>
          </w:p>
        </w:tc>
        <w:tc>
          <w:tcPr>
            <w:tcW w:w="1784" w:type="dxa"/>
            <w:tcMar>
              <w:top w:w="0" w:type="dxa"/>
              <w:left w:w="105" w:type="dxa"/>
              <w:bottom w:w="0" w:type="dxa"/>
              <w:right w:w="105" w:type="dxa"/>
            </w:tcMar>
            <w:vAlign w:val="center"/>
          </w:tcPr>
          <w:p w14:paraId="4E36B667">
            <w:pPr>
              <w:pStyle w:val="11"/>
              <w:jc w:val="both"/>
            </w:pPr>
            <w:r>
              <w:rPr>
                <w:rFonts w:ascii="仿宋_GB2312" w:hAnsi="仿宋_GB2312" w:eastAsia="仿宋_GB2312" w:cs="仿宋_GB2312"/>
                <w:sz w:val="19"/>
              </w:rPr>
              <w:t>支付时间和条件</w:t>
            </w:r>
          </w:p>
        </w:tc>
        <w:tc>
          <w:tcPr>
            <w:tcW w:w="5394" w:type="dxa"/>
            <w:tcMar>
              <w:top w:w="0" w:type="dxa"/>
              <w:left w:w="105" w:type="dxa"/>
              <w:bottom w:w="0" w:type="dxa"/>
              <w:right w:w="105" w:type="dxa"/>
            </w:tcMar>
            <w:vAlign w:val="center"/>
          </w:tcPr>
          <w:p w14:paraId="171A9BC6">
            <w:pPr>
              <w:pStyle w:val="11"/>
              <w:jc w:val="both"/>
            </w:pPr>
            <w:r>
              <w:rPr>
                <w:rFonts w:ascii="仿宋_GB2312" w:hAnsi="仿宋_GB2312" w:eastAsia="仿宋_GB2312" w:cs="仿宋_GB2312"/>
                <w:sz w:val="19"/>
              </w:rPr>
              <w:t>采购人采取“刷公务采购卡”“转账”等方式付款，在满足合同约定支付条件情况下，采购人应当及时支付货款。</w:t>
            </w:r>
          </w:p>
        </w:tc>
      </w:tr>
      <w:tr w14:paraId="393F9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dxa"/>
            <w:shd w:val="clear" w:color="auto" w:fill="auto"/>
            <w:tcMar>
              <w:top w:w="0" w:type="dxa"/>
              <w:left w:w="105" w:type="dxa"/>
              <w:bottom w:w="0" w:type="dxa"/>
              <w:right w:w="105" w:type="dxa"/>
            </w:tcMar>
            <w:vAlign w:val="top"/>
          </w:tcPr>
          <w:p w14:paraId="38779D9A">
            <w:pPr>
              <w:pStyle w:val="11"/>
              <w:jc w:val="both"/>
              <w:rPr>
                <w:rFonts w:hint="eastAsia"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6</w:t>
            </w:r>
          </w:p>
        </w:tc>
        <w:tc>
          <w:tcPr>
            <w:tcW w:w="1784" w:type="dxa"/>
            <w:shd w:val="clear" w:color="auto" w:fill="auto"/>
            <w:tcMar>
              <w:top w:w="0" w:type="dxa"/>
              <w:left w:w="105" w:type="dxa"/>
              <w:bottom w:w="0" w:type="dxa"/>
              <w:right w:w="105" w:type="dxa"/>
            </w:tcMar>
            <w:vAlign w:val="top"/>
          </w:tcPr>
          <w:p w14:paraId="3CCCFA4C">
            <w:pPr>
              <w:pStyle w:val="11"/>
              <w:jc w:val="both"/>
              <w:rPr>
                <w:rFonts w:hint="default"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售后服务</w:t>
            </w:r>
          </w:p>
        </w:tc>
        <w:tc>
          <w:tcPr>
            <w:tcW w:w="5394" w:type="dxa"/>
            <w:shd w:val="clear" w:color="auto" w:fill="auto"/>
            <w:tcMar>
              <w:top w:w="0" w:type="dxa"/>
              <w:left w:w="105" w:type="dxa"/>
              <w:bottom w:w="0" w:type="dxa"/>
              <w:right w:w="105" w:type="dxa"/>
            </w:tcMar>
            <w:vAlign w:val="top"/>
          </w:tcPr>
          <w:p w14:paraId="3C3BA8D1">
            <w:pPr>
              <w:pStyle w:val="11"/>
              <w:jc w:val="both"/>
              <w:rPr>
                <w:rFonts w:hint="eastAsia" w:ascii="仿宋_GB2312" w:hAnsi="仿宋_GB2312" w:eastAsia="仿宋_GB2312" w:cs="仿宋_GB2312"/>
                <w:sz w:val="19"/>
                <w:lang w:val="en-US" w:eastAsia="zh-Hans"/>
              </w:rPr>
            </w:pPr>
            <w:r>
              <w:rPr>
                <w:rFonts w:ascii="仿宋_GB2312" w:hAnsi="仿宋_GB2312" w:eastAsia="仿宋_GB2312" w:cs="仿宋_GB2312"/>
                <w:sz w:val="19"/>
              </w:rPr>
              <w:t>供应商须提供</w:t>
            </w:r>
            <w:r>
              <w:rPr>
                <w:rFonts w:hint="eastAsia" w:ascii="仿宋_GB2312" w:hAnsi="仿宋_GB2312" w:eastAsia="仿宋_GB2312" w:cs="仿宋_GB2312"/>
                <w:sz w:val="19"/>
                <w:lang w:val="en-US" w:eastAsia="zh-CN"/>
              </w:rPr>
              <w:t>复印机</w:t>
            </w:r>
            <w:r>
              <w:rPr>
                <w:rFonts w:ascii="仿宋_GB2312" w:hAnsi="仿宋_GB2312" w:eastAsia="仿宋_GB2312" w:cs="仿宋_GB2312"/>
                <w:sz w:val="19"/>
              </w:rPr>
              <w:t>免费送货上门，免费安装服务，售后服务标准不得低于投标（响应）产品出厂市场服务标准。</w:t>
            </w:r>
          </w:p>
        </w:tc>
      </w:tr>
      <w:tr w14:paraId="22E83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dxa"/>
            <w:shd w:val="clear" w:color="auto" w:fill="auto"/>
            <w:tcMar>
              <w:top w:w="0" w:type="dxa"/>
              <w:left w:w="105" w:type="dxa"/>
              <w:bottom w:w="0" w:type="dxa"/>
              <w:right w:w="105" w:type="dxa"/>
            </w:tcMar>
            <w:vAlign w:val="top"/>
          </w:tcPr>
          <w:p w14:paraId="1389D811">
            <w:pPr>
              <w:pStyle w:val="11"/>
              <w:jc w:val="both"/>
              <w:rPr>
                <w:rFonts w:hint="eastAsia"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7</w:t>
            </w:r>
          </w:p>
        </w:tc>
        <w:tc>
          <w:tcPr>
            <w:tcW w:w="1784" w:type="dxa"/>
            <w:shd w:val="clear" w:color="auto" w:fill="auto"/>
            <w:tcMar>
              <w:top w:w="0" w:type="dxa"/>
              <w:left w:w="105" w:type="dxa"/>
              <w:bottom w:w="0" w:type="dxa"/>
              <w:right w:w="105" w:type="dxa"/>
            </w:tcMar>
            <w:vAlign w:val="top"/>
          </w:tcPr>
          <w:p w14:paraId="02C9D7B0">
            <w:pPr>
              <w:pStyle w:val="11"/>
              <w:jc w:val="both"/>
              <w:rPr>
                <w:rFonts w:hint="default"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报价要求</w:t>
            </w:r>
          </w:p>
        </w:tc>
        <w:tc>
          <w:tcPr>
            <w:tcW w:w="5394" w:type="dxa"/>
            <w:shd w:val="clear" w:color="auto" w:fill="auto"/>
            <w:tcMar>
              <w:top w:w="0" w:type="dxa"/>
              <w:left w:w="105" w:type="dxa"/>
              <w:bottom w:w="0" w:type="dxa"/>
              <w:right w:w="105" w:type="dxa"/>
            </w:tcMar>
            <w:vAlign w:val="top"/>
          </w:tcPr>
          <w:p w14:paraId="5E3A708B">
            <w:pPr>
              <w:pStyle w:val="11"/>
              <w:jc w:val="both"/>
              <w:rPr>
                <w:rFonts w:hint="eastAsia" w:ascii="仿宋_GB2312" w:hAnsi="仿宋_GB2312" w:eastAsia="仿宋_GB2312" w:cs="仿宋_GB2312"/>
                <w:sz w:val="19"/>
                <w:lang w:eastAsia="zh-CN"/>
              </w:rPr>
            </w:pPr>
            <w:r>
              <w:rPr>
                <w:rFonts w:hint="eastAsia" w:ascii="仿宋_GB2312" w:hAnsi="仿宋_GB2312" w:eastAsia="仿宋_GB2312" w:cs="仿宋_GB2312"/>
                <w:sz w:val="19"/>
                <w:lang w:val="en-US" w:eastAsia="zh-CN"/>
              </w:rPr>
              <w:t xml:space="preserve">7.1 </w:t>
            </w:r>
            <w:r>
              <w:rPr>
                <w:rFonts w:ascii="仿宋_GB2312" w:hAnsi="仿宋_GB2312" w:eastAsia="仿宋_GB2312" w:cs="仿宋_GB2312"/>
                <w:sz w:val="19"/>
              </w:rPr>
              <w:t>供应商报价的产品技术和参数必须符合本项目要求</w:t>
            </w:r>
            <w:r>
              <w:rPr>
                <w:rFonts w:hint="eastAsia" w:ascii="仿宋_GB2312" w:hAnsi="仿宋_GB2312" w:eastAsia="仿宋_GB2312" w:cs="仿宋_GB2312"/>
                <w:sz w:val="19"/>
                <w:lang w:eastAsia="zh-CN"/>
              </w:rPr>
              <w:t>；</w:t>
            </w:r>
          </w:p>
          <w:p w14:paraId="34D16500">
            <w:pPr>
              <w:pStyle w:val="11"/>
              <w:jc w:val="both"/>
              <w:rPr>
                <w:rFonts w:hint="eastAsia" w:ascii="仿宋_GB2312" w:hAnsi="仿宋_GB2312" w:eastAsia="仿宋_GB2312" w:cs="仿宋_GB2312"/>
                <w:sz w:val="19"/>
                <w:lang w:eastAsia="zh-CN"/>
              </w:rPr>
            </w:pPr>
            <w:r>
              <w:rPr>
                <w:rFonts w:hint="eastAsia" w:ascii="仿宋_GB2312" w:hAnsi="仿宋_GB2312" w:eastAsia="仿宋_GB2312" w:cs="仿宋_GB2312"/>
                <w:sz w:val="19"/>
                <w:lang w:val="en-US" w:eastAsia="zh-CN"/>
              </w:rPr>
              <w:t xml:space="preserve">7.2 </w:t>
            </w:r>
            <w:r>
              <w:rPr>
                <w:rFonts w:ascii="仿宋_GB2312" w:hAnsi="仿宋_GB2312" w:eastAsia="仿宋_GB2312" w:cs="仿宋_GB2312"/>
                <w:sz w:val="19"/>
              </w:rPr>
              <w:t>以每个产品（含自带原装耗材）单价进行报价</w:t>
            </w:r>
            <w:r>
              <w:rPr>
                <w:rFonts w:hint="eastAsia" w:ascii="仿宋_GB2312" w:hAnsi="仿宋_GB2312" w:eastAsia="仿宋_GB2312" w:cs="仿宋_GB2312"/>
                <w:sz w:val="19"/>
                <w:lang w:eastAsia="zh-CN"/>
              </w:rPr>
              <w:t>；</w:t>
            </w:r>
          </w:p>
          <w:p w14:paraId="4AEACAA6">
            <w:pPr>
              <w:pStyle w:val="11"/>
              <w:jc w:val="both"/>
              <w:rPr>
                <w:rFonts w:hint="eastAsia" w:ascii="仿宋_GB2312" w:hAnsi="仿宋_GB2312" w:eastAsia="仿宋_GB2312" w:cs="仿宋_GB2312"/>
                <w:sz w:val="19"/>
                <w:lang w:eastAsia="zh-CN"/>
              </w:rPr>
            </w:pPr>
            <w:r>
              <w:rPr>
                <w:rFonts w:hint="eastAsia" w:ascii="仿宋_GB2312" w:hAnsi="仿宋_GB2312" w:eastAsia="仿宋_GB2312" w:cs="仿宋_GB2312"/>
                <w:sz w:val="19"/>
                <w:lang w:val="en-US" w:eastAsia="zh-CN"/>
              </w:rPr>
              <w:t xml:space="preserve">7.3 </w:t>
            </w:r>
            <w:r>
              <w:rPr>
                <w:rFonts w:ascii="仿宋_GB2312" w:hAnsi="仿宋_GB2312" w:eastAsia="仿宋_GB2312" w:cs="仿宋_GB2312"/>
                <w:sz w:val="19"/>
              </w:rPr>
              <w:t>报价除包含货款外，还应包含但不限于产品运输、仓储、采购、生产、安装、抽样检测报检、售后服务以及人工、物耗、验收、培训、税金等全部相关工作所有可能发生的费用，即总报价</w:t>
            </w:r>
            <w:r>
              <w:rPr>
                <w:rFonts w:hint="eastAsia" w:ascii="仿宋_GB2312" w:hAnsi="仿宋_GB2312" w:eastAsia="仿宋_GB2312" w:cs="仿宋_GB2312"/>
                <w:sz w:val="19"/>
                <w:lang w:eastAsia="zh-CN"/>
              </w:rPr>
              <w:t>；</w:t>
            </w:r>
          </w:p>
          <w:p w14:paraId="30F7403C">
            <w:pPr>
              <w:pStyle w:val="11"/>
              <w:jc w:val="both"/>
              <w:rPr>
                <w:rFonts w:hint="eastAsia"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7.4 供应商在报价时应考虑可能发生的其他费用（如材料涨价、人工和运输成本增加等因素）；</w:t>
            </w:r>
          </w:p>
          <w:p w14:paraId="5C2930D9">
            <w:pPr>
              <w:pStyle w:val="11"/>
              <w:jc w:val="both"/>
              <w:rPr>
                <w:rFonts w:hint="default"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7.5 对本文件未列明，而供应商认为必需的费用也需列入报价。采购合同实施时，采购人将不予支付供应商没有列入的项目费用，并认为此项目的费用已包含在本次报价中。</w:t>
            </w:r>
          </w:p>
        </w:tc>
      </w:tr>
      <w:tr w14:paraId="790F8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dxa"/>
            <w:shd w:val="clear" w:color="auto" w:fill="auto"/>
            <w:tcMar>
              <w:top w:w="0" w:type="dxa"/>
              <w:left w:w="105" w:type="dxa"/>
              <w:bottom w:w="0" w:type="dxa"/>
              <w:right w:w="105" w:type="dxa"/>
            </w:tcMar>
            <w:vAlign w:val="top"/>
          </w:tcPr>
          <w:p w14:paraId="20BD419A">
            <w:pPr>
              <w:pStyle w:val="11"/>
              <w:jc w:val="both"/>
              <w:rPr>
                <w:rFonts w:hint="eastAsia"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8</w:t>
            </w:r>
          </w:p>
        </w:tc>
        <w:tc>
          <w:tcPr>
            <w:tcW w:w="1784" w:type="dxa"/>
            <w:shd w:val="clear" w:color="auto" w:fill="auto"/>
            <w:tcMar>
              <w:top w:w="0" w:type="dxa"/>
              <w:left w:w="105" w:type="dxa"/>
              <w:bottom w:w="0" w:type="dxa"/>
              <w:right w:w="105" w:type="dxa"/>
            </w:tcMar>
            <w:vAlign w:val="top"/>
          </w:tcPr>
          <w:p w14:paraId="6C328DF3">
            <w:pPr>
              <w:pStyle w:val="11"/>
              <w:jc w:val="both"/>
              <w:rPr>
                <w:rFonts w:hint="eastAsia" w:ascii="仿宋_GB2312" w:hAnsi="仿宋_GB2312" w:eastAsia="仿宋_GB2312" w:cs="仿宋_GB2312"/>
                <w:sz w:val="19"/>
                <w:lang w:val="en-US" w:eastAsia="zh-Hans"/>
              </w:rPr>
            </w:pPr>
            <w:r>
              <w:rPr>
                <w:rFonts w:hint="eastAsia" w:ascii="仿宋_GB2312" w:hAnsi="仿宋_GB2312" w:eastAsia="仿宋_GB2312" w:cs="仿宋_GB2312"/>
                <w:sz w:val="19"/>
                <w:lang w:eastAsia="zh-CN"/>
              </w:rPr>
              <w:t>维修响应及故障解决时间</w:t>
            </w:r>
          </w:p>
        </w:tc>
        <w:tc>
          <w:tcPr>
            <w:tcW w:w="5394" w:type="dxa"/>
            <w:shd w:val="clear" w:color="auto" w:fill="auto"/>
            <w:tcMar>
              <w:top w:w="0" w:type="dxa"/>
              <w:left w:w="105" w:type="dxa"/>
              <w:bottom w:w="0" w:type="dxa"/>
              <w:right w:w="105" w:type="dxa"/>
            </w:tcMar>
            <w:vAlign w:val="top"/>
          </w:tcPr>
          <w:p w14:paraId="7D41105D">
            <w:pPr>
              <w:pStyle w:val="11"/>
              <w:jc w:val="both"/>
              <w:rPr>
                <w:rFonts w:hint="eastAsia" w:ascii="仿宋_GB2312" w:hAnsi="仿宋_GB2312" w:eastAsia="仿宋_GB2312" w:cs="仿宋_GB2312"/>
                <w:sz w:val="19"/>
                <w:lang w:val="en-US" w:eastAsia="zh-Hans"/>
              </w:rPr>
            </w:pPr>
            <w:r>
              <w:rPr>
                <w:rFonts w:ascii="仿宋_GB2312" w:hAnsi="仿宋_GB2312" w:eastAsia="仿宋_GB2312" w:cs="仿宋_GB2312"/>
                <w:sz w:val="19"/>
              </w:rPr>
              <w:t>提供政企专线7*24在线服务，2h电话响应，2个工作日解决问题，对于未能解决的问题和故障应提供可行的升级方案，并提供周转设备或更换设备。服务周期内提供产品的维修、换件和升级服务。</w:t>
            </w:r>
          </w:p>
        </w:tc>
      </w:tr>
      <w:tr w14:paraId="03522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dxa"/>
            <w:shd w:val="clear" w:color="auto" w:fill="auto"/>
            <w:tcMar>
              <w:top w:w="0" w:type="dxa"/>
              <w:left w:w="105" w:type="dxa"/>
              <w:bottom w:w="0" w:type="dxa"/>
              <w:right w:w="105" w:type="dxa"/>
            </w:tcMar>
            <w:vAlign w:val="top"/>
          </w:tcPr>
          <w:p w14:paraId="171C6386">
            <w:pPr>
              <w:pStyle w:val="11"/>
              <w:jc w:val="both"/>
              <w:rPr>
                <w:rFonts w:hint="default"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9</w:t>
            </w:r>
          </w:p>
        </w:tc>
        <w:tc>
          <w:tcPr>
            <w:tcW w:w="1784" w:type="dxa"/>
            <w:shd w:val="clear" w:color="auto" w:fill="auto"/>
            <w:tcMar>
              <w:top w:w="0" w:type="dxa"/>
              <w:left w:w="105" w:type="dxa"/>
              <w:bottom w:w="0" w:type="dxa"/>
              <w:right w:w="105" w:type="dxa"/>
            </w:tcMar>
            <w:vAlign w:val="top"/>
          </w:tcPr>
          <w:p w14:paraId="7E75E89A">
            <w:pPr>
              <w:pStyle w:val="11"/>
              <w:jc w:val="both"/>
              <w:rPr>
                <w:rFonts w:hint="default"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库存管理</w:t>
            </w:r>
          </w:p>
        </w:tc>
        <w:tc>
          <w:tcPr>
            <w:tcW w:w="5394" w:type="dxa"/>
            <w:shd w:val="clear" w:color="auto" w:fill="auto"/>
            <w:tcMar>
              <w:top w:w="0" w:type="dxa"/>
              <w:left w:w="105" w:type="dxa"/>
              <w:bottom w:w="0" w:type="dxa"/>
              <w:right w:w="105" w:type="dxa"/>
            </w:tcMar>
            <w:vAlign w:val="top"/>
          </w:tcPr>
          <w:p w14:paraId="652F55B1">
            <w:pPr>
              <w:pStyle w:val="11"/>
              <w:jc w:val="both"/>
              <w:rPr>
                <w:rFonts w:hint="eastAsia"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因库存维护不及时、价格维护不及时而影响采购人下单的，自愿接受征集人按本征集文件及相关规定进行处理。</w:t>
            </w:r>
          </w:p>
        </w:tc>
      </w:tr>
      <w:tr w14:paraId="4E4D2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dxa"/>
            <w:tcMar>
              <w:top w:w="0" w:type="dxa"/>
              <w:left w:w="105" w:type="dxa"/>
              <w:bottom w:w="0" w:type="dxa"/>
              <w:right w:w="105" w:type="dxa"/>
            </w:tcMar>
            <w:vAlign w:val="center"/>
          </w:tcPr>
          <w:p w14:paraId="52DA42D4">
            <w:pPr>
              <w:pStyle w:val="11"/>
              <w:jc w:val="both"/>
              <w:rPr>
                <w:rFonts w:hint="default"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10</w:t>
            </w:r>
          </w:p>
        </w:tc>
        <w:tc>
          <w:tcPr>
            <w:tcW w:w="1784" w:type="dxa"/>
            <w:tcMar>
              <w:top w:w="0" w:type="dxa"/>
              <w:left w:w="105" w:type="dxa"/>
              <w:bottom w:w="0" w:type="dxa"/>
              <w:right w:w="105" w:type="dxa"/>
            </w:tcMar>
            <w:vAlign w:val="center"/>
          </w:tcPr>
          <w:p w14:paraId="3596F94A">
            <w:pPr>
              <w:pStyle w:val="11"/>
              <w:jc w:val="both"/>
              <w:rPr>
                <w:rFonts w:ascii="仿宋_GB2312" w:hAnsi="仿宋_GB2312" w:eastAsia="仿宋_GB2312" w:cs="仿宋_GB2312"/>
                <w:sz w:val="19"/>
              </w:rPr>
            </w:pPr>
            <w:r>
              <w:rPr>
                <w:rFonts w:ascii="仿宋_GB2312" w:hAnsi="仿宋_GB2312" w:eastAsia="仿宋_GB2312" w:cs="仿宋_GB2312"/>
                <w:sz w:val="19"/>
              </w:rPr>
              <w:t>其他</w:t>
            </w:r>
          </w:p>
        </w:tc>
        <w:tc>
          <w:tcPr>
            <w:tcW w:w="5394" w:type="dxa"/>
            <w:tcMar>
              <w:top w:w="0" w:type="dxa"/>
              <w:left w:w="105" w:type="dxa"/>
              <w:bottom w:w="0" w:type="dxa"/>
              <w:right w:w="105" w:type="dxa"/>
            </w:tcMar>
            <w:vAlign w:val="center"/>
          </w:tcPr>
          <w:p w14:paraId="79BBFD4A">
            <w:pPr>
              <w:pStyle w:val="11"/>
              <w:jc w:val="both"/>
              <w:rPr>
                <w:rFonts w:ascii="仿宋_GB2312" w:hAnsi="仿宋_GB2312" w:eastAsia="仿宋_GB2312" w:cs="仿宋_GB2312"/>
                <w:sz w:val="19"/>
              </w:rPr>
            </w:pPr>
            <w:r>
              <w:rPr>
                <w:rFonts w:hint="eastAsia" w:ascii="仿宋_GB2312" w:hAnsi="仿宋_GB2312" w:eastAsia="仿宋_GB2312" w:cs="仿宋_GB2312"/>
                <w:sz w:val="19"/>
                <w:lang w:val="en-US" w:eastAsia="zh-CN"/>
              </w:rPr>
              <w:t>1</w:t>
            </w:r>
            <w:r>
              <w:rPr>
                <w:rFonts w:ascii="仿宋_GB2312" w:hAnsi="仿宋_GB2312" w:eastAsia="仿宋_GB2312" w:cs="仿宋_GB2312"/>
                <w:sz w:val="19"/>
              </w:rPr>
              <w:t>.供应商投标（响应）的货物须符合国家相关产业政策，合法销售、原厂原装、全新正品，符合国家三包政策；</w:t>
            </w:r>
          </w:p>
          <w:p w14:paraId="084FAFBC">
            <w:pPr>
              <w:pStyle w:val="11"/>
              <w:jc w:val="both"/>
              <w:rPr>
                <w:rFonts w:ascii="仿宋_GB2312" w:hAnsi="仿宋_GB2312" w:eastAsia="仿宋_GB2312" w:cs="仿宋_GB2312"/>
                <w:sz w:val="19"/>
              </w:rPr>
            </w:pPr>
            <w:r>
              <w:rPr>
                <w:rFonts w:hint="eastAsia" w:ascii="仿宋_GB2312" w:hAnsi="仿宋_GB2312" w:eastAsia="仿宋_GB2312" w:cs="仿宋_GB2312"/>
                <w:sz w:val="19"/>
                <w:lang w:val="en-US" w:eastAsia="zh-CN"/>
              </w:rPr>
              <w:t>2</w:t>
            </w:r>
            <w:r>
              <w:rPr>
                <w:rFonts w:ascii="仿宋_GB2312" w:hAnsi="仿宋_GB2312" w:eastAsia="仿宋_GB2312" w:cs="仿宋_GB2312"/>
                <w:sz w:val="19"/>
              </w:rPr>
              <w:t>.在框架协议期间，入围产品价格为合同授予阶段最高限价，不得上调；</w:t>
            </w:r>
          </w:p>
          <w:p w14:paraId="271A2D2F">
            <w:pPr>
              <w:pStyle w:val="11"/>
              <w:jc w:val="both"/>
              <w:rPr>
                <w:rFonts w:ascii="仿宋_GB2312" w:hAnsi="仿宋_GB2312" w:eastAsia="仿宋_GB2312" w:cs="仿宋_GB2312"/>
                <w:sz w:val="19"/>
              </w:rPr>
            </w:pPr>
            <w:r>
              <w:rPr>
                <w:rFonts w:hint="eastAsia" w:ascii="仿宋_GB2312" w:hAnsi="仿宋_GB2312" w:eastAsia="仿宋_GB2312" w:cs="仿宋_GB2312"/>
                <w:sz w:val="19"/>
                <w:lang w:val="en-US" w:eastAsia="zh-CN"/>
              </w:rPr>
              <w:t>3</w:t>
            </w:r>
            <w:r>
              <w:rPr>
                <w:rFonts w:ascii="仿宋_GB2312" w:hAnsi="仿宋_GB2312" w:eastAsia="仿宋_GB2312" w:cs="仿宋_GB2312"/>
                <w:sz w:val="19"/>
              </w:rPr>
              <w:t>.若入围价格过高，征集人有权要求供应商下调产品价格；</w:t>
            </w:r>
          </w:p>
          <w:p w14:paraId="752CE827">
            <w:pPr>
              <w:pStyle w:val="11"/>
              <w:jc w:val="both"/>
              <w:rPr>
                <w:rFonts w:ascii="仿宋_GB2312" w:hAnsi="仿宋_GB2312" w:eastAsia="仿宋_GB2312" w:cs="仿宋_GB2312"/>
                <w:sz w:val="19"/>
              </w:rPr>
            </w:pPr>
            <w:r>
              <w:rPr>
                <w:rFonts w:hint="eastAsia" w:ascii="仿宋_GB2312" w:hAnsi="仿宋_GB2312" w:eastAsia="仿宋_GB2312" w:cs="仿宋_GB2312"/>
                <w:sz w:val="19"/>
                <w:lang w:val="en-US" w:eastAsia="zh-CN"/>
              </w:rPr>
              <w:t>4</w:t>
            </w:r>
            <w:r>
              <w:rPr>
                <w:rFonts w:ascii="仿宋_GB2312" w:hAnsi="仿宋_GB2312" w:eastAsia="仿宋_GB2312" w:cs="仿宋_GB2312"/>
                <w:sz w:val="19"/>
              </w:rPr>
              <w:t>.供应商投标（响应）产品须符合国家有关质量技术标准及相关法律、法规规定的要求。</w:t>
            </w:r>
          </w:p>
          <w:p w14:paraId="7DA81270">
            <w:pPr>
              <w:pStyle w:val="11"/>
              <w:jc w:val="both"/>
              <w:rPr>
                <w:rFonts w:hint="eastAsia"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5.</w:t>
            </w:r>
            <w:r>
              <w:rPr>
                <w:rFonts w:ascii="仿宋_GB2312" w:hAnsi="仿宋_GB2312" w:eastAsia="仿宋_GB2312" w:cs="仿宋_GB2312"/>
                <w:sz w:val="19"/>
              </w:rPr>
              <w:t>供应商在协议期内不能按期供货经查证属实的，须按涉单金额的1%向国库上缴违约金，拒不缴纳前述违约金或存在其他严重情节的，征集人将报送财政主管部门，由财政主管部门依据《深圳经济特区政府采购条例实施细则》第八十条的规定依法予以处理。</w:t>
            </w:r>
          </w:p>
          <w:p w14:paraId="03FAACC8">
            <w:pPr>
              <w:pStyle w:val="11"/>
              <w:jc w:val="both"/>
              <w:rPr>
                <w:rFonts w:hint="eastAsia" w:ascii="仿宋_GB2312" w:hAnsi="仿宋_GB2312" w:eastAsia="仿宋_GB2312" w:cs="仿宋_GB2312"/>
                <w:sz w:val="19"/>
                <w:lang w:eastAsia="zh-CN"/>
              </w:rPr>
            </w:pPr>
            <w:r>
              <w:rPr>
                <w:rFonts w:hint="eastAsia" w:ascii="仿宋_GB2312" w:hAnsi="仿宋_GB2312" w:eastAsia="仿宋_GB2312" w:cs="仿宋_GB2312"/>
                <w:sz w:val="19"/>
                <w:lang w:val="en-US" w:eastAsia="zh-CN"/>
              </w:rPr>
              <w:t>6.供应商投标（响应）的单色、彩色激光复印机，其配套耗材的打印量测试方法，须分别符合以下标准：单色碳粉盒（ISO/IEC 19752:2025）、彩色激光硒鼓（ISO/IEC 19798:2017）。</w:t>
            </w:r>
          </w:p>
        </w:tc>
      </w:tr>
    </w:tbl>
    <w:p w14:paraId="0C0EE0FE">
      <w:pPr>
        <w:pStyle w:val="11"/>
        <w:numPr>
          <w:ilvl w:val="0"/>
          <w:numId w:val="0"/>
        </w:numPr>
        <w:ind w:firstLine="402" w:firstLineChars="200"/>
        <w:jc w:val="left"/>
        <w:outlineLvl w:val="2"/>
        <w:rPr>
          <w:rFonts w:ascii="仿宋_GB2312" w:hAnsi="仿宋_GB2312" w:eastAsia="仿宋_GB2312" w:cs="仿宋_GB2312"/>
          <w:b/>
          <w:bCs/>
          <w:color w:val="FF0000"/>
        </w:rPr>
      </w:pPr>
      <w:r>
        <w:rPr>
          <w:rFonts w:ascii="仿宋_GB2312" w:hAnsi="仿宋_GB2312" w:eastAsia="仿宋_GB2312" w:cs="仿宋_GB2312"/>
          <w:b/>
          <w:bCs/>
          <w:color w:val="FF0000"/>
        </w:rPr>
        <w:t>注：</w:t>
      </w:r>
      <w:r>
        <w:rPr>
          <w:rFonts w:hint="eastAsia" w:ascii="仿宋_GB2312" w:hAnsi="仿宋_GB2312" w:eastAsia="仿宋_GB2312" w:cs="仿宋_GB2312"/>
          <w:b/>
          <w:bCs/>
          <w:color w:val="FF0000"/>
          <w:lang w:val="en-US" w:eastAsia="zh-CN"/>
        </w:rPr>
        <w:t>供应商须</w:t>
      </w:r>
      <w:r>
        <w:rPr>
          <w:rFonts w:hint="eastAsia" w:ascii="仿宋_GB2312" w:hAnsi="仿宋_GB2312" w:eastAsia="仿宋_GB2312" w:cs="仿宋_GB2312"/>
          <w:b/>
          <w:bCs/>
          <w:color w:val="FF0000"/>
          <w:lang w:val="en-US" w:eastAsia="zh-Hans"/>
        </w:rPr>
        <w:t>提供</w:t>
      </w:r>
      <w:r>
        <w:rPr>
          <w:rFonts w:hint="eastAsia" w:ascii="仿宋_GB2312" w:hAnsi="仿宋_GB2312" w:eastAsia="仿宋_GB2312" w:cs="仿宋_GB2312"/>
          <w:b/>
          <w:bCs/>
          <w:color w:val="FF0000"/>
          <w:lang w:eastAsia="zh-CN"/>
        </w:rPr>
        <w:t>《</w:t>
      </w:r>
      <w:r>
        <w:rPr>
          <w:rFonts w:hint="eastAsia" w:ascii="仿宋_GB2312" w:hAnsi="仿宋_GB2312" w:eastAsia="仿宋_GB2312" w:cs="仿宋_GB2312"/>
          <w:b/>
          <w:bCs/>
          <w:color w:val="FF0000"/>
          <w:lang w:val="en-US" w:eastAsia="zh-CN"/>
        </w:rPr>
        <w:t>商务要求偏离表</w:t>
      </w:r>
      <w:r>
        <w:rPr>
          <w:rFonts w:hint="eastAsia" w:ascii="仿宋_GB2312" w:hAnsi="仿宋_GB2312" w:eastAsia="仿宋_GB2312" w:cs="仿宋_GB2312"/>
          <w:b/>
          <w:bCs/>
          <w:color w:val="FF0000"/>
          <w:lang w:eastAsia="zh-CN"/>
        </w:rPr>
        <w:t>》，</w:t>
      </w:r>
      <w:r>
        <w:rPr>
          <w:rFonts w:ascii="仿宋_GB2312" w:hAnsi="仿宋_GB2312" w:eastAsia="仿宋_GB2312" w:cs="仿宋_GB2312"/>
          <w:b/>
          <w:bCs/>
          <w:color w:val="FF0000"/>
        </w:rPr>
        <w:t>上表所列内容为不可负偏离条款，负偏离将视为未实质性满足征集文件要求，对应采购包作无效投标（响应）处理。</w:t>
      </w:r>
    </w:p>
    <w:p w14:paraId="2CB0F8D8">
      <w:pPr>
        <w:pStyle w:val="11"/>
        <w:jc w:val="left"/>
        <w:outlineLvl w:val="2"/>
      </w:pPr>
      <w:r>
        <w:rPr>
          <w:rFonts w:hint="eastAsia" w:ascii="仿宋_GB2312" w:hAnsi="仿宋_GB2312" w:eastAsia="仿宋_GB2312" w:cs="仿宋_GB2312"/>
          <w:b/>
          <w:sz w:val="28"/>
          <w:lang w:val="en-US" w:eastAsia="zh-CN"/>
        </w:rPr>
        <w:t>五</w:t>
      </w:r>
      <w:r>
        <w:rPr>
          <w:rFonts w:ascii="仿宋_GB2312" w:hAnsi="仿宋_GB2312" w:eastAsia="仿宋_GB2312" w:cs="仿宋_GB2312"/>
          <w:b/>
          <w:sz w:val="28"/>
        </w:rPr>
        <w:t>、量价关系折扣</w:t>
      </w:r>
    </w:p>
    <w:p w14:paraId="7BE758A6">
      <w:pPr>
        <w:pStyle w:val="11"/>
        <w:ind w:firstLine="480"/>
        <w:jc w:val="left"/>
      </w:pPr>
      <w:r>
        <w:rPr>
          <w:rFonts w:ascii="仿宋_GB2312" w:hAnsi="仿宋_GB2312" w:eastAsia="仿宋_GB2312" w:cs="仿宋_GB2312"/>
        </w:rPr>
        <w:t xml:space="preserve"> 是否含有量价关系折扣：否。</w:t>
      </w:r>
    </w:p>
    <w:p w14:paraId="3AF2B843">
      <w:pPr>
        <w:pStyle w:val="11"/>
        <w:jc w:val="left"/>
      </w:pPr>
      <w:r>
        <w:rPr>
          <w:rFonts w:ascii="仿宋_GB2312" w:hAnsi="仿宋_GB2312" w:eastAsia="仿宋_GB2312" w:cs="仿宋_GB2312"/>
        </w:rPr>
        <w:br w:type="page"/>
      </w:r>
    </w:p>
    <w:p w14:paraId="3DAA5F62">
      <w:pPr>
        <w:pStyle w:val="11"/>
        <w:jc w:val="center"/>
        <w:outlineLvl w:val="1"/>
      </w:pPr>
      <w:r>
        <w:rPr>
          <w:rFonts w:ascii="仿宋_GB2312" w:hAnsi="仿宋_GB2312" w:eastAsia="仿宋_GB2312" w:cs="仿宋_GB2312"/>
          <w:b/>
          <w:sz w:val="36"/>
        </w:rPr>
        <w:t>第四章 资格审查</w:t>
      </w:r>
    </w:p>
    <w:p w14:paraId="10146FD6">
      <w:pPr>
        <w:pStyle w:val="11"/>
        <w:ind w:firstLine="480"/>
        <w:jc w:val="both"/>
      </w:pPr>
      <w:r>
        <w:rPr>
          <w:rFonts w:ascii="仿宋_GB2312" w:hAnsi="仿宋_GB2312" w:eastAsia="仿宋_GB2312" w:cs="仿宋_GB2312"/>
        </w:rPr>
        <w:t xml:space="preserve"> 资格审查标准及要求如下，资格审查不通过，按无效投标（响应）处理：</w:t>
      </w:r>
    </w:p>
    <w:tbl>
      <w:tblPr>
        <w:tblStyle w:val="7"/>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01"/>
        <w:gridCol w:w="7305"/>
      </w:tblGrid>
      <w:tr w14:paraId="242899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01" w:type="dxa"/>
          </w:tcPr>
          <w:p w14:paraId="67DDF169">
            <w:pPr>
              <w:pStyle w:val="11"/>
              <w:jc w:val="center"/>
            </w:pPr>
            <w:r>
              <w:rPr>
                <w:rFonts w:ascii="仿宋_GB2312" w:hAnsi="仿宋_GB2312" w:eastAsia="仿宋_GB2312" w:cs="仿宋_GB2312"/>
              </w:rPr>
              <w:t>序号</w:t>
            </w:r>
          </w:p>
        </w:tc>
        <w:tc>
          <w:tcPr>
            <w:tcW w:w="7305" w:type="dxa"/>
          </w:tcPr>
          <w:p w14:paraId="0436C245">
            <w:pPr>
              <w:pStyle w:val="11"/>
              <w:jc w:val="center"/>
            </w:pPr>
            <w:r>
              <w:rPr>
                <w:rFonts w:ascii="仿宋_GB2312" w:hAnsi="仿宋_GB2312" w:eastAsia="仿宋_GB2312" w:cs="仿宋_GB2312"/>
              </w:rPr>
              <w:t>资格审查要求概况</w:t>
            </w:r>
          </w:p>
        </w:tc>
      </w:tr>
      <w:tr w14:paraId="1562F2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01" w:type="dxa"/>
          </w:tcPr>
          <w:p w14:paraId="05304087">
            <w:pPr>
              <w:pStyle w:val="11"/>
              <w:jc w:val="center"/>
            </w:pPr>
            <w:r>
              <w:rPr>
                <w:rFonts w:ascii="仿宋_GB2312" w:hAnsi="仿宋_GB2312" w:eastAsia="仿宋_GB2312" w:cs="仿宋_GB2312"/>
              </w:rPr>
              <w:t>1</w:t>
            </w:r>
          </w:p>
        </w:tc>
        <w:tc>
          <w:tcPr>
            <w:tcW w:w="7305" w:type="dxa"/>
          </w:tcPr>
          <w:p w14:paraId="0C63CD03">
            <w:pPr>
              <w:pStyle w:val="11"/>
              <w:jc w:val="left"/>
              <w:rPr>
                <w:rFonts w:hint="eastAsia" w:eastAsia="仿宋_GB2312"/>
                <w:lang w:eastAsia="zh-CN"/>
              </w:rPr>
            </w:pPr>
            <w:r>
              <w:rPr>
                <w:rFonts w:ascii="仿宋_GB2312" w:hAnsi="仿宋_GB2312" w:eastAsia="仿宋_GB2312" w:cs="仿宋_GB2312"/>
              </w:rPr>
              <w:t>投标（响应）供应商不符合资格要求，或未提交相应的资格证明资料(详见征集公告供应商资格要求，即申请人的资格要求)</w:t>
            </w:r>
            <w:r>
              <w:rPr>
                <w:rFonts w:hint="eastAsia" w:ascii="仿宋_GB2312" w:hAnsi="仿宋_GB2312" w:eastAsia="仿宋_GB2312" w:cs="仿宋_GB2312"/>
                <w:lang w:eastAsia="zh-CN"/>
              </w:rPr>
              <w:t>。</w:t>
            </w:r>
          </w:p>
        </w:tc>
      </w:tr>
    </w:tbl>
    <w:p w14:paraId="0FC6E749">
      <w:pPr>
        <w:pStyle w:val="11"/>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4850A59">
      <w:pPr>
        <w:pStyle w:val="11"/>
        <w:jc w:val="center"/>
        <w:outlineLvl w:val="1"/>
      </w:pPr>
      <w:r>
        <w:rPr>
          <w:rFonts w:ascii="仿宋_GB2312" w:hAnsi="仿宋_GB2312" w:eastAsia="仿宋_GB2312" w:cs="仿宋_GB2312"/>
          <w:b/>
          <w:sz w:val="36"/>
        </w:rPr>
        <w:t>第五章 入围评审办法</w:t>
      </w:r>
    </w:p>
    <w:p w14:paraId="0A403C97">
      <w:pPr>
        <w:pStyle w:val="11"/>
        <w:jc w:val="left"/>
        <w:outlineLvl w:val="2"/>
      </w:pPr>
      <w:r>
        <w:rPr>
          <w:rFonts w:ascii="仿宋_GB2312" w:hAnsi="仿宋_GB2312" w:eastAsia="仿宋_GB2312" w:cs="仿宋_GB2312"/>
          <w:b/>
          <w:sz w:val="28"/>
        </w:rPr>
        <w:t>一、评审程序</w:t>
      </w:r>
    </w:p>
    <w:p w14:paraId="2F447E4A">
      <w:pPr>
        <w:pStyle w:val="11"/>
        <w:ind w:firstLine="480"/>
        <w:jc w:val="left"/>
      </w:pPr>
      <w:r>
        <w:rPr>
          <w:rFonts w:ascii="仿宋_GB2312" w:hAnsi="仿宋_GB2312" w:eastAsia="仿宋_GB2312" w:cs="仿宋_GB2312"/>
        </w:rPr>
        <w:t xml:space="preserve"> 评审委员会依据本征集文件的实质性要求，对符合资格的</w:t>
      </w:r>
      <w:r>
        <w:rPr>
          <w:rFonts w:hint="eastAsia" w:ascii="仿宋_GB2312" w:hAnsi="仿宋_GB2312" w:eastAsia="仿宋_GB2312" w:cs="仿宋_GB2312"/>
          <w:lang w:eastAsia="zh-CN"/>
        </w:rPr>
        <w:t>投标（响应）</w:t>
      </w:r>
      <w:r>
        <w:rPr>
          <w:rFonts w:ascii="仿宋_GB2312" w:hAnsi="仿宋_GB2312" w:eastAsia="仿宋_GB2312" w:cs="仿宋_GB2312"/>
        </w:rPr>
        <w:t>文件进行审查，以确定其是否满足本征集文件的实质性要求。本项目符合性审查事项，必须以本征集文件明确规定的实质性要求作为依据。</w:t>
      </w:r>
    </w:p>
    <w:p w14:paraId="0DC5517E">
      <w:pPr>
        <w:pStyle w:val="11"/>
        <w:ind w:firstLine="480"/>
        <w:jc w:val="left"/>
      </w:pPr>
      <w:r>
        <w:rPr>
          <w:rFonts w:ascii="仿宋_GB2312" w:hAnsi="仿宋_GB2312" w:eastAsia="仿宋_GB2312" w:cs="仿宋_GB2312"/>
        </w:rPr>
        <w:t xml:space="preserve"> 在符合性审查过程中，如果出现评审委员会成员意见不一致的情况，按照少数服从多数的原则确定，但不得违背政府采购基本原则和征集文件规定，符合性审查不通过，按无效投标（响应）处理。</w:t>
      </w:r>
    </w:p>
    <w:p w14:paraId="4E088DB5">
      <w:pPr>
        <w:pStyle w:val="11"/>
        <w:ind w:firstLine="480"/>
        <w:jc w:val="left"/>
      </w:pPr>
      <w:r>
        <w:rPr>
          <w:rFonts w:ascii="仿宋_GB2312" w:hAnsi="仿宋_GB2312" w:eastAsia="仿宋_GB2312" w:cs="仿宋_GB2312"/>
        </w:rPr>
        <w:t xml:space="preserve"> 符合性审查标准见下表（按以下顺序审查）：</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8"/>
        <w:gridCol w:w="7105"/>
      </w:tblGrid>
      <w:tr w14:paraId="1F5D5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2CCDD1BD">
            <w:pPr>
              <w:pStyle w:val="11"/>
              <w:jc w:val="center"/>
            </w:pPr>
            <w:r>
              <w:rPr>
                <w:rFonts w:ascii="仿宋_GB2312" w:hAnsi="仿宋_GB2312" w:eastAsia="仿宋_GB2312" w:cs="仿宋_GB2312"/>
                <w:sz w:val="19"/>
              </w:rPr>
              <w:t>序号</w:t>
            </w:r>
          </w:p>
        </w:tc>
        <w:tc>
          <w:tcPr>
            <w:tcW w:w="7105" w:type="dxa"/>
            <w:tcMar>
              <w:top w:w="0" w:type="dxa"/>
              <w:left w:w="105" w:type="dxa"/>
              <w:bottom w:w="0" w:type="dxa"/>
              <w:right w:w="105" w:type="dxa"/>
            </w:tcMar>
            <w:vAlign w:val="top"/>
          </w:tcPr>
          <w:p w14:paraId="574E8393">
            <w:pPr>
              <w:pStyle w:val="11"/>
              <w:jc w:val="center"/>
            </w:pPr>
            <w:r>
              <w:rPr>
                <w:rFonts w:ascii="仿宋_GB2312" w:hAnsi="仿宋_GB2312" w:eastAsia="仿宋_GB2312" w:cs="仿宋_GB2312"/>
                <w:sz w:val="19"/>
              </w:rPr>
              <w:t>具体要求</w:t>
            </w:r>
          </w:p>
        </w:tc>
      </w:tr>
      <w:tr w14:paraId="59B83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3A1F0693">
            <w:pPr>
              <w:pStyle w:val="11"/>
              <w:jc w:val="center"/>
            </w:pPr>
            <w:r>
              <w:rPr>
                <w:rFonts w:ascii="仿宋_GB2312" w:hAnsi="仿宋_GB2312" w:eastAsia="仿宋_GB2312" w:cs="仿宋_GB2312"/>
                <w:sz w:val="19"/>
              </w:rPr>
              <w:t>1</w:t>
            </w:r>
          </w:p>
        </w:tc>
        <w:tc>
          <w:tcPr>
            <w:tcW w:w="7105" w:type="dxa"/>
            <w:tcMar>
              <w:top w:w="0" w:type="dxa"/>
              <w:left w:w="105" w:type="dxa"/>
              <w:bottom w:w="0" w:type="dxa"/>
              <w:right w:w="105" w:type="dxa"/>
            </w:tcMar>
            <w:vAlign w:val="top"/>
          </w:tcPr>
          <w:p w14:paraId="5FF97EDA">
            <w:pPr>
              <w:pStyle w:val="11"/>
              <w:jc w:val="left"/>
              <w:rPr>
                <w:rFonts w:ascii="仿宋_GB2312" w:hAnsi="仿宋_GB2312" w:eastAsia="仿宋_GB2312" w:cs="仿宋_GB2312"/>
                <w:sz w:val="19"/>
              </w:rPr>
            </w:pPr>
            <w:r>
              <w:rPr>
                <w:rFonts w:ascii="仿宋_GB2312" w:hAnsi="仿宋_GB2312" w:eastAsia="仿宋_GB2312" w:cs="仿宋_GB2312"/>
                <w:sz w:val="19"/>
              </w:rPr>
              <w:t>所投货物、服务在技术、商务等方面没有实质性满足征集文件要求的（是否实质性满足征集文件要求，由评审委员会根据投标（响应）情况做出评判</w:t>
            </w:r>
            <w:r>
              <w:rPr>
                <w:rFonts w:hint="eastAsia" w:ascii="仿宋_GB2312" w:hAnsi="仿宋_GB2312" w:eastAsia="仿宋_GB2312" w:cs="仿宋_GB2312"/>
                <w:sz w:val="19"/>
              </w:rPr>
              <w:t>；若</w:t>
            </w:r>
            <w:r>
              <w:rPr>
                <w:rFonts w:hint="eastAsia" w:ascii="仿宋_GB2312" w:hAnsi="仿宋_GB2312" w:eastAsia="仿宋_GB2312" w:cs="仿宋_GB2312"/>
                <w:sz w:val="19"/>
                <w:lang w:val="en-US" w:eastAsia="zh-CN"/>
              </w:rPr>
              <w:t>征集</w:t>
            </w:r>
            <w:r>
              <w:rPr>
                <w:rFonts w:hint="eastAsia" w:ascii="仿宋_GB2312" w:hAnsi="仿宋_GB2312" w:eastAsia="仿宋_GB2312" w:cs="仿宋_GB2312"/>
                <w:sz w:val="19"/>
              </w:rPr>
              <w:t>文件未设置实质性条款，不得据此做无效</w:t>
            </w:r>
            <w:r>
              <w:rPr>
                <w:rFonts w:ascii="仿宋_GB2312" w:hAnsi="仿宋_GB2312" w:eastAsia="仿宋_GB2312" w:cs="仿宋_GB2312"/>
                <w:sz w:val="19"/>
              </w:rPr>
              <w:t>投标（响应）</w:t>
            </w:r>
            <w:r>
              <w:rPr>
                <w:rFonts w:hint="eastAsia" w:ascii="仿宋_GB2312" w:hAnsi="仿宋_GB2312" w:eastAsia="仿宋_GB2312" w:cs="仿宋_GB2312"/>
                <w:sz w:val="19"/>
              </w:rPr>
              <w:t>处理</w:t>
            </w:r>
            <w:r>
              <w:rPr>
                <w:rFonts w:ascii="仿宋_GB2312" w:hAnsi="仿宋_GB2312" w:eastAsia="仿宋_GB2312" w:cs="仿宋_GB2312"/>
                <w:sz w:val="19"/>
              </w:rPr>
              <w:t>）。</w:t>
            </w:r>
          </w:p>
        </w:tc>
      </w:tr>
      <w:tr w14:paraId="0B357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57CE9249">
            <w:pPr>
              <w:pStyle w:val="11"/>
              <w:jc w:val="center"/>
            </w:pPr>
            <w:r>
              <w:rPr>
                <w:rFonts w:ascii="仿宋_GB2312" w:hAnsi="仿宋_GB2312" w:eastAsia="仿宋_GB2312" w:cs="仿宋_GB2312"/>
                <w:sz w:val="19"/>
              </w:rPr>
              <w:t>2</w:t>
            </w:r>
          </w:p>
        </w:tc>
        <w:tc>
          <w:tcPr>
            <w:tcW w:w="7105" w:type="dxa"/>
            <w:tcMar>
              <w:top w:w="0" w:type="dxa"/>
              <w:left w:w="105" w:type="dxa"/>
              <w:bottom w:w="0" w:type="dxa"/>
              <w:right w:w="105" w:type="dxa"/>
            </w:tcMar>
            <w:vAlign w:val="top"/>
          </w:tcPr>
          <w:p w14:paraId="6183E282">
            <w:pPr>
              <w:pStyle w:val="11"/>
              <w:jc w:val="left"/>
              <w:rPr>
                <w:rFonts w:ascii="仿宋_GB2312" w:hAnsi="仿宋_GB2312" w:eastAsia="仿宋_GB2312" w:cs="仿宋_GB2312"/>
                <w:sz w:val="19"/>
              </w:rPr>
            </w:pPr>
            <w:r>
              <w:rPr>
                <w:rFonts w:ascii="仿宋_GB2312" w:hAnsi="仿宋_GB2312" w:eastAsia="仿宋_GB2312" w:cs="仿宋_GB2312"/>
                <w:sz w:val="19"/>
              </w:rPr>
              <w:t>采购包的报价不得高于对应采购包的最高限价。</w:t>
            </w:r>
          </w:p>
        </w:tc>
      </w:tr>
      <w:tr w14:paraId="52D92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0E30811D">
            <w:pPr>
              <w:pStyle w:val="11"/>
              <w:jc w:val="center"/>
            </w:pPr>
            <w:r>
              <w:rPr>
                <w:rFonts w:ascii="仿宋_GB2312" w:hAnsi="仿宋_GB2312" w:eastAsia="仿宋_GB2312" w:cs="仿宋_GB2312"/>
                <w:sz w:val="19"/>
              </w:rPr>
              <w:t>3</w:t>
            </w:r>
          </w:p>
        </w:tc>
        <w:tc>
          <w:tcPr>
            <w:tcW w:w="7105" w:type="dxa"/>
            <w:tcMar>
              <w:top w:w="0" w:type="dxa"/>
              <w:left w:w="105" w:type="dxa"/>
              <w:bottom w:w="0" w:type="dxa"/>
              <w:right w:w="105" w:type="dxa"/>
            </w:tcMar>
            <w:vAlign w:val="top"/>
          </w:tcPr>
          <w:p w14:paraId="1BD6BA53">
            <w:pPr>
              <w:pStyle w:val="11"/>
              <w:jc w:val="left"/>
              <w:rPr>
                <w:rFonts w:ascii="仿宋_GB2312" w:hAnsi="仿宋_GB2312" w:eastAsia="仿宋_GB2312" w:cs="仿宋_GB2312"/>
                <w:sz w:val="19"/>
              </w:rPr>
            </w:pPr>
            <w:r>
              <w:rPr>
                <w:rFonts w:ascii="仿宋_GB2312" w:hAnsi="仿宋_GB2312" w:eastAsia="仿宋_GB2312" w:cs="仿宋_GB2312"/>
                <w:sz w:val="19"/>
              </w:rPr>
              <w:t>投标（响应）文件电子文档不得带病毒。</w:t>
            </w:r>
          </w:p>
        </w:tc>
      </w:tr>
      <w:tr w14:paraId="3D273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3EEA5D00">
            <w:pPr>
              <w:pStyle w:val="11"/>
              <w:jc w:val="center"/>
            </w:pPr>
            <w:r>
              <w:rPr>
                <w:rFonts w:ascii="仿宋_GB2312" w:hAnsi="仿宋_GB2312" w:eastAsia="仿宋_GB2312" w:cs="仿宋_GB2312"/>
                <w:sz w:val="19"/>
              </w:rPr>
              <w:t>4</w:t>
            </w:r>
          </w:p>
        </w:tc>
        <w:tc>
          <w:tcPr>
            <w:tcW w:w="7105" w:type="dxa"/>
            <w:tcMar>
              <w:top w:w="0" w:type="dxa"/>
              <w:left w:w="105" w:type="dxa"/>
              <w:bottom w:w="0" w:type="dxa"/>
              <w:right w:w="105" w:type="dxa"/>
            </w:tcMar>
            <w:vAlign w:val="top"/>
          </w:tcPr>
          <w:p w14:paraId="09C2DC62">
            <w:pPr>
              <w:pStyle w:val="11"/>
              <w:jc w:val="left"/>
              <w:rPr>
                <w:rFonts w:ascii="仿宋_GB2312" w:hAnsi="仿宋_GB2312" w:eastAsia="仿宋_GB2312" w:cs="仿宋_GB2312"/>
                <w:sz w:val="19"/>
              </w:rPr>
            </w:pPr>
            <w:r>
              <w:rPr>
                <w:rFonts w:ascii="仿宋_GB2312" w:hAnsi="仿宋_GB2312" w:eastAsia="仿宋_GB2312" w:cs="仿宋_GB2312"/>
                <w:sz w:val="19"/>
              </w:rPr>
              <w:t>投标（响应）文件不得用不属于本公司的电子密钥进行加密的。</w:t>
            </w:r>
          </w:p>
        </w:tc>
      </w:tr>
      <w:tr w14:paraId="2594D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627388C0">
            <w:pPr>
              <w:pStyle w:val="11"/>
              <w:jc w:val="center"/>
            </w:pPr>
            <w:r>
              <w:rPr>
                <w:rFonts w:ascii="仿宋_GB2312" w:hAnsi="仿宋_GB2312" w:eastAsia="仿宋_GB2312" w:cs="仿宋_GB2312"/>
                <w:sz w:val="19"/>
              </w:rPr>
              <w:t>5</w:t>
            </w:r>
          </w:p>
        </w:tc>
        <w:tc>
          <w:tcPr>
            <w:tcW w:w="7105" w:type="dxa"/>
            <w:tcMar>
              <w:top w:w="0" w:type="dxa"/>
              <w:left w:w="105" w:type="dxa"/>
              <w:bottom w:w="0" w:type="dxa"/>
              <w:right w:w="105" w:type="dxa"/>
            </w:tcMar>
            <w:vAlign w:val="top"/>
          </w:tcPr>
          <w:p w14:paraId="5470AEEA">
            <w:pPr>
              <w:pStyle w:val="11"/>
              <w:jc w:val="left"/>
              <w:rPr>
                <w:rFonts w:ascii="仿宋_GB2312" w:hAnsi="仿宋_GB2312" w:eastAsia="仿宋_GB2312" w:cs="仿宋_GB2312"/>
                <w:sz w:val="19"/>
              </w:rPr>
            </w:pPr>
            <w:r>
              <w:rPr>
                <w:rFonts w:ascii="仿宋_GB2312" w:hAnsi="仿宋_GB2312" w:eastAsia="仿宋_GB2312" w:cs="仿宋_GB2312"/>
                <w:sz w:val="19"/>
              </w:rPr>
              <w:t>不得与其他投标（响应）供应商投标（响应）文件“文件制作机器码”一致。</w:t>
            </w:r>
          </w:p>
        </w:tc>
      </w:tr>
      <w:tr w14:paraId="4595E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6246F74C">
            <w:pPr>
              <w:pStyle w:val="11"/>
              <w:jc w:val="center"/>
            </w:pPr>
            <w:r>
              <w:rPr>
                <w:rFonts w:ascii="仿宋_GB2312" w:hAnsi="仿宋_GB2312" w:eastAsia="仿宋_GB2312" w:cs="仿宋_GB2312"/>
                <w:sz w:val="19"/>
              </w:rPr>
              <w:t>6</w:t>
            </w:r>
          </w:p>
        </w:tc>
        <w:tc>
          <w:tcPr>
            <w:tcW w:w="7105" w:type="dxa"/>
            <w:tcMar>
              <w:top w:w="0" w:type="dxa"/>
              <w:left w:w="105" w:type="dxa"/>
              <w:bottom w:w="0" w:type="dxa"/>
              <w:right w:w="105" w:type="dxa"/>
            </w:tcMar>
            <w:vAlign w:val="top"/>
          </w:tcPr>
          <w:p w14:paraId="66B3BC01">
            <w:pPr>
              <w:pStyle w:val="11"/>
              <w:jc w:val="left"/>
              <w:rPr>
                <w:rFonts w:ascii="仿宋_GB2312" w:hAnsi="仿宋_GB2312" w:eastAsia="仿宋_GB2312" w:cs="仿宋_GB2312"/>
                <w:sz w:val="19"/>
              </w:rPr>
            </w:pPr>
            <w:r>
              <w:rPr>
                <w:rFonts w:ascii="仿宋_GB2312" w:hAnsi="仿宋_GB2312" w:eastAsia="仿宋_GB2312" w:cs="仿宋_GB2312"/>
                <w:sz w:val="19"/>
              </w:rPr>
              <w:t>不得与其他投标（响应）供应商投标（响应）文件“文件创建标识码”一致。</w:t>
            </w:r>
          </w:p>
        </w:tc>
      </w:tr>
      <w:tr w14:paraId="243DF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45B91D7D">
            <w:pPr>
              <w:pStyle w:val="11"/>
              <w:jc w:val="center"/>
            </w:pPr>
            <w:r>
              <w:rPr>
                <w:rFonts w:ascii="仿宋_GB2312" w:hAnsi="仿宋_GB2312" w:eastAsia="仿宋_GB2312" w:cs="仿宋_GB2312"/>
                <w:sz w:val="19"/>
              </w:rPr>
              <w:t>7</w:t>
            </w:r>
          </w:p>
        </w:tc>
        <w:tc>
          <w:tcPr>
            <w:tcW w:w="7105" w:type="dxa"/>
            <w:tcMar>
              <w:top w:w="0" w:type="dxa"/>
              <w:left w:w="105" w:type="dxa"/>
              <w:bottom w:w="0" w:type="dxa"/>
              <w:right w:w="105" w:type="dxa"/>
            </w:tcMar>
            <w:vAlign w:val="top"/>
          </w:tcPr>
          <w:p w14:paraId="1CB96FC5">
            <w:pPr>
              <w:pStyle w:val="11"/>
              <w:jc w:val="left"/>
              <w:rPr>
                <w:rFonts w:hint="eastAsia" w:ascii="仿宋_GB2312" w:hAnsi="仿宋_GB2312" w:eastAsia="仿宋_GB2312" w:cs="仿宋_GB2312"/>
                <w:sz w:val="19"/>
              </w:rPr>
            </w:pPr>
            <w:r>
              <w:rPr>
                <w:rFonts w:ascii="仿宋_GB2312" w:hAnsi="仿宋_GB2312" w:eastAsia="仿宋_GB2312" w:cs="仿宋_GB2312"/>
                <w:sz w:val="19"/>
              </w:rPr>
              <w:t>评审委员会认为投标（响应）</w:t>
            </w:r>
            <w:r>
              <w:rPr>
                <w:rFonts w:hint="eastAsia" w:ascii="仿宋_GB2312" w:hAnsi="仿宋_GB2312" w:eastAsia="仿宋_GB2312" w:cs="仿宋_GB2312"/>
                <w:sz w:val="19"/>
                <w:lang w:val="en-US" w:eastAsia="zh-CN"/>
              </w:rPr>
              <w:t>供应商</w:t>
            </w:r>
            <w:r>
              <w:rPr>
                <w:rFonts w:ascii="仿宋_GB2312" w:hAnsi="仿宋_GB2312" w:eastAsia="仿宋_GB2312" w:cs="仿宋_GB2312"/>
                <w:sz w:val="19"/>
              </w:rPr>
              <w:t>的报价明显低于其他通过符合性审查投标（响应</w:t>
            </w:r>
            <w:r>
              <w:rPr>
                <w:rFonts w:hint="eastAsia" w:ascii="仿宋_GB2312" w:hAnsi="仿宋_GB2312" w:eastAsia="仿宋_GB2312" w:cs="仿宋_GB2312"/>
                <w:sz w:val="19"/>
                <w:lang w:val="en-US" w:eastAsia="zh-CN"/>
              </w:rPr>
              <w:t>）供应商的报</w:t>
            </w:r>
            <w:r>
              <w:rPr>
                <w:rFonts w:ascii="仿宋_GB2312" w:hAnsi="仿宋_GB2312" w:eastAsia="仿宋_GB2312" w:cs="仿宋_GB2312"/>
                <w:sz w:val="19"/>
              </w:rPr>
              <w:t>价，有可能影响产品质量或者不能诚信履约的，应当要求其在评审现场合理的时间内提供书面说明，必要时提交相关证明材料；在此情况下，投标（响应）</w:t>
            </w:r>
            <w:r>
              <w:rPr>
                <w:rFonts w:hint="eastAsia" w:ascii="仿宋_GB2312" w:hAnsi="仿宋_GB2312" w:eastAsia="仿宋_GB2312" w:cs="仿宋_GB2312"/>
                <w:sz w:val="19"/>
                <w:lang w:val="en-US" w:eastAsia="zh-CN"/>
              </w:rPr>
              <w:t>供应商</w:t>
            </w:r>
            <w:r>
              <w:rPr>
                <w:rFonts w:ascii="仿宋_GB2312" w:hAnsi="仿宋_GB2312" w:eastAsia="仿宋_GB2312" w:cs="仿宋_GB2312"/>
                <w:sz w:val="19"/>
              </w:rPr>
              <w:t>仍不能证明其报价合理性的（评审委员会成员对投标（响应）</w:t>
            </w:r>
            <w:r>
              <w:rPr>
                <w:rFonts w:hint="eastAsia" w:ascii="仿宋_GB2312" w:hAnsi="仿宋_GB2312" w:eastAsia="仿宋_GB2312" w:cs="仿宋_GB2312"/>
                <w:sz w:val="19"/>
                <w:lang w:val="en-US" w:eastAsia="zh-CN"/>
              </w:rPr>
              <w:t>供应商</w:t>
            </w:r>
            <w:r>
              <w:rPr>
                <w:rFonts w:ascii="仿宋_GB2312" w:hAnsi="仿宋_GB2312" w:eastAsia="仿宋_GB2312" w:cs="仿宋_GB2312"/>
                <w:sz w:val="19"/>
              </w:rPr>
              <w:t>提供的说明材料判断不一致的，按照“少数服从多数”的原则确定评审委员会的意见）。</w:t>
            </w:r>
          </w:p>
        </w:tc>
      </w:tr>
      <w:tr w14:paraId="733BF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2B8BD751">
            <w:pPr>
              <w:pStyle w:val="11"/>
              <w:jc w:val="center"/>
              <w:rPr>
                <w:rFonts w:hint="eastAsia"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8</w:t>
            </w:r>
          </w:p>
        </w:tc>
        <w:tc>
          <w:tcPr>
            <w:tcW w:w="7105" w:type="dxa"/>
            <w:tcMar>
              <w:top w:w="0" w:type="dxa"/>
              <w:left w:w="105" w:type="dxa"/>
              <w:bottom w:w="0" w:type="dxa"/>
              <w:right w:w="105" w:type="dxa"/>
            </w:tcMar>
            <w:vAlign w:val="top"/>
          </w:tcPr>
          <w:p w14:paraId="6FF43240">
            <w:pPr>
              <w:pStyle w:val="11"/>
              <w:jc w:val="left"/>
              <w:rPr>
                <w:rFonts w:hint="eastAsia" w:ascii="仿宋_GB2312" w:hAnsi="仿宋_GB2312" w:eastAsia="仿宋_GB2312" w:cs="仿宋_GB2312"/>
                <w:sz w:val="19"/>
                <w:lang w:eastAsia="zh-CN"/>
              </w:rPr>
            </w:pPr>
            <w:r>
              <w:rPr>
                <w:rFonts w:ascii="仿宋_GB2312" w:hAnsi="仿宋_GB2312" w:eastAsia="仿宋_GB2312" w:cs="仿宋_GB2312"/>
                <w:sz w:val="19"/>
              </w:rPr>
              <w:t>未按征集文件所提供的样式填写</w:t>
            </w:r>
            <w:r>
              <w:rPr>
                <w:rFonts w:hint="eastAsia" w:ascii="仿宋_GB2312" w:hAnsi="仿宋_GB2312" w:eastAsia="仿宋_GB2312" w:cs="仿宋_GB2312"/>
                <w:sz w:val="19"/>
                <w:lang w:eastAsia="zh-CN"/>
              </w:rPr>
              <w:t>《</w:t>
            </w:r>
            <w:r>
              <w:rPr>
                <w:rFonts w:ascii="仿宋_GB2312" w:hAnsi="仿宋_GB2312" w:eastAsia="仿宋_GB2312" w:cs="仿宋_GB2312"/>
                <w:sz w:val="19"/>
              </w:rPr>
              <w:t>响应</w:t>
            </w:r>
            <w:r>
              <w:rPr>
                <w:rFonts w:hint="eastAsia" w:ascii="仿宋_GB2312" w:hAnsi="仿宋_GB2312" w:eastAsia="仿宋_GB2312" w:cs="仿宋_GB2312"/>
                <w:sz w:val="19"/>
                <w:lang w:val="en-US" w:eastAsia="zh-CN"/>
              </w:rPr>
              <w:t>函</w:t>
            </w:r>
            <w:r>
              <w:rPr>
                <w:rFonts w:hint="eastAsia" w:ascii="仿宋_GB2312" w:hAnsi="仿宋_GB2312" w:eastAsia="仿宋_GB2312" w:cs="仿宋_GB2312"/>
                <w:sz w:val="19"/>
                <w:lang w:eastAsia="zh-CN"/>
              </w:rPr>
              <w:t>》</w:t>
            </w:r>
            <w:r>
              <w:rPr>
                <w:rFonts w:ascii="仿宋_GB2312" w:hAnsi="仿宋_GB2312" w:eastAsia="仿宋_GB2312" w:cs="仿宋_GB2312"/>
                <w:sz w:val="19"/>
              </w:rPr>
              <w:t>《投标（响应）及履约承诺函》</w:t>
            </w:r>
            <w:r>
              <w:rPr>
                <w:rFonts w:hint="eastAsia" w:ascii="仿宋_GB2312" w:hAnsi="仿宋_GB2312" w:eastAsia="仿宋_GB2312" w:cs="仿宋_GB2312"/>
                <w:sz w:val="19"/>
                <w:lang w:eastAsia="zh-CN"/>
              </w:rPr>
              <w:t>。</w:t>
            </w:r>
          </w:p>
        </w:tc>
      </w:tr>
      <w:tr w14:paraId="39CB4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54CAF412">
            <w:pPr>
              <w:pStyle w:val="11"/>
              <w:jc w:val="center"/>
              <w:rPr>
                <w:rFonts w:hint="eastAsia" w:eastAsia="仿宋_GB2312"/>
                <w:lang w:eastAsia="zh-CN"/>
              </w:rPr>
            </w:pPr>
            <w:r>
              <w:rPr>
                <w:rFonts w:hint="eastAsia" w:ascii="仿宋_GB2312" w:hAnsi="仿宋_GB2312" w:eastAsia="仿宋_GB2312" w:cs="仿宋_GB2312"/>
                <w:sz w:val="19"/>
                <w:lang w:val="en-US" w:eastAsia="zh-CN"/>
              </w:rPr>
              <w:t>9</w:t>
            </w:r>
          </w:p>
        </w:tc>
        <w:tc>
          <w:tcPr>
            <w:tcW w:w="7105" w:type="dxa"/>
            <w:tcMar>
              <w:top w:w="0" w:type="dxa"/>
              <w:left w:w="105" w:type="dxa"/>
              <w:bottom w:w="0" w:type="dxa"/>
              <w:right w:w="105" w:type="dxa"/>
            </w:tcMar>
            <w:vAlign w:val="top"/>
          </w:tcPr>
          <w:p w14:paraId="1DA65E6A">
            <w:pPr>
              <w:pStyle w:val="11"/>
              <w:jc w:val="left"/>
              <w:rPr>
                <w:rFonts w:ascii="仿宋_GB2312" w:hAnsi="仿宋_GB2312" w:eastAsia="仿宋_GB2312" w:cs="仿宋_GB2312"/>
                <w:sz w:val="19"/>
              </w:rPr>
            </w:pPr>
            <w:r>
              <w:rPr>
                <w:rFonts w:ascii="仿宋_GB2312" w:hAnsi="仿宋_GB2312" w:eastAsia="仿宋_GB2312" w:cs="仿宋_GB2312"/>
                <w:sz w:val="19"/>
              </w:rPr>
              <w:t>属于投标（响应）文件无效情形。</w:t>
            </w:r>
          </w:p>
        </w:tc>
      </w:tr>
      <w:tr w14:paraId="2F464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07B99D40">
            <w:pPr>
              <w:pStyle w:val="11"/>
              <w:jc w:val="center"/>
              <w:rPr>
                <w:rFonts w:hint="default"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10</w:t>
            </w:r>
          </w:p>
        </w:tc>
        <w:tc>
          <w:tcPr>
            <w:tcW w:w="7105" w:type="dxa"/>
            <w:tcMar>
              <w:top w:w="0" w:type="dxa"/>
              <w:left w:w="105" w:type="dxa"/>
              <w:bottom w:w="0" w:type="dxa"/>
              <w:right w:w="105" w:type="dxa"/>
            </w:tcMar>
            <w:vAlign w:val="top"/>
          </w:tcPr>
          <w:p w14:paraId="3975BBD0">
            <w:pPr>
              <w:pStyle w:val="11"/>
              <w:jc w:val="left"/>
              <w:rPr>
                <w:rFonts w:ascii="仿宋_GB2312" w:hAnsi="仿宋_GB2312" w:eastAsia="仿宋_GB2312" w:cs="仿宋_GB2312"/>
                <w:sz w:val="19"/>
              </w:rPr>
            </w:pPr>
            <w:r>
              <w:rPr>
                <w:rFonts w:ascii="仿宋_GB2312" w:hAnsi="仿宋_GB2312" w:eastAsia="仿宋_GB2312" w:cs="仿宋_GB2312"/>
                <w:sz w:val="19"/>
              </w:rPr>
              <w:t>法律、法规、规章、规范性文件规定的其他情形。</w:t>
            </w:r>
          </w:p>
        </w:tc>
      </w:tr>
    </w:tbl>
    <w:p w14:paraId="2DA87DD8">
      <w:pPr>
        <w:pStyle w:val="11"/>
        <w:jc w:val="left"/>
        <w:outlineLvl w:val="2"/>
      </w:pPr>
      <w:r>
        <w:rPr>
          <w:rFonts w:ascii="仿宋_GB2312" w:hAnsi="仿宋_GB2312" w:eastAsia="仿宋_GB2312" w:cs="仿宋_GB2312"/>
          <w:b/>
          <w:sz w:val="28"/>
        </w:rPr>
        <w:t>二、评审细则及标准</w:t>
      </w:r>
    </w:p>
    <w:p w14:paraId="2ECC61BD">
      <w:pPr>
        <w:pStyle w:val="11"/>
        <w:ind w:firstLine="480"/>
        <w:jc w:val="both"/>
      </w:pPr>
      <w:r>
        <w:rPr>
          <w:rFonts w:ascii="仿宋_GB2312" w:hAnsi="仿宋_GB2312" w:eastAsia="仿宋_GB2312" w:cs="仿宋_GB2312"/>
        </w:rPr>
        <w:t xml:space="preserve"> （一）评分办法</w:t>
      </w:r>
    </w:p>
    <w:p w14:paraId="681D7253">
      <w:pPr>
        <w:pStyle w:val="11"/>
        <w:ind w:firstLine="400" w:firstLineChars="200"/>
        <w:jc w:val="left"/>
      </w:pPr>
      <w:r>
        <w:rPr>
          <w:rFonts w:ascii="仿宋_GB2312" w:hAnsi="仿宋_GB2312" w:eastAsia="仿宋_GB2312" w:cs="仿宋_GB2312"/>
        </w:rPr>
        <w:t>价格优先法。价格优先法是指对满足采购需求且</w:t>
      </w:r>
      <w:r>
        <w:rPr>
          <w:rFonts w:hint="eastAsia" w:ascii="仿宋_GB2312" w:hAnsi="仿宋_GB2312" w:eastAsia="仿宋_GB2312" w:cs="仿宋_GB2312"/>
          <w:lang w:eastAsia="zh-CN"/>
        </w:rPr>
        <w:t>投标（响应）</w:t>
      </w:r>
      <w:r>
        <w:rPr>
          <w:rFonts w:ascii="仿宋_GB2312" w:hAnsi="仿宋_GB2312" w:eastAsia="仿宋_GB2312" w:cs="仿宋_GB2312"/>
        </w:rPr>
        <w:t>报价不超过最高限制单价的产品，按照</w:t>
      </w:r>
      <w:r>
        <w:rPr>
          <w:rFonts w:hint="eastAsia" w:ascii="仿宋_GB2312" w:hAnsi="仿宋_GB2312" w:eastAsia="仿宋_GB2312" w:cs="仿宋_GB2312"/>
          <w:lang w:eastAsia="zh-CN"/>
        </w:rPr>
        <w:t>投标（响应）</w:t>
      </w:r>
      <w:r>
        <w:rPr>
          <w:rFonts w:ascii="仿宋_GB2312" w:hAnsi="仿宋_GB2312" w:eastAsia="仿宋_GB2312" w:cs="仿宋_GB2312"/>
        </w:rPr>
        <w:t>报价从低到高排序，根据征集文件规定的淘汰率或者入围供应商数量上限，确定入围供应商的评审方法。</w:t>
      </w:r>
    </w:p>
    <w:p w14:paraId="5AA66DC0">
      <w:pPr>
        <w:pStyle w:val="11"/>
        <w:ind w:firstLine="480"/>
        <w:jc w:val="both"/>
      </w:pPr>
      <w:r>
        <w:rPr>
          <w:rFonts w:ascii="仿宋_GB2312" w:hAnsi="仿宋_GB2312" w:eastAsia="仿宋_GB2312" w:cs="仿宋_GB2312"/>
        </w:rPr>
        <w:t xml:space="preserve"> （二）评分标准</w:t>
      </w:r>
    </w:p>
    <w:p w14:paraId="51BD41D9">
      <w:pPr>
        <w:pStyle w:val="11"/>
        <w:ind w:firstLine="400" w:firstLineChars="200"/>
        <w:jc w:val="left"/>
      </w:pPr>
      <w:r>
        <w:rPr>
          <w:rFonts w:ascii="仿宋_GB2312" w:hAnsi="仿宋_GB2312" w:eastAsia="仿宋_GB2312" w:cs="仿宋_GB2312"/>
        </w:rPr>
        <w:t>1.价格评审</w:t>
      </w:r>
    </w:p>
    <w:tbl>
      <w:tblPr>
        <w:tblStyle w:val="7"/>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816"/>
        <w:gridCol w:w="2058"/>
        <w:gridCol w:w="2262"/>
        <w:gridCol w:w="1029"/>
        <w:gridCol w:w="2058"/>
      </w:tblGrid>
      <w:tr w14:paraId="13A7755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2F4B6897">
            <w:pPr>
              <w:pStyle w:val="11"/>
              <w:jc w:val="both"/>
            </w:pPr>
            <w:r>
              <w:rPr>
                <w:rFonts w:ascii="仿宋_GB2312" w:hAnsi="仿宋_GB2312" w:eastAsia="仿宋_GB2312" w:cs="仿宋_GB2312"/>
                <w:sz w:val="19"/>
              </w:rPr>
              <w:t xml:space="preserve"> 序号</w:t>
            </w:r>
          </w:p>
        </w:tc>
        <w:tc>
          <w:tcPr>
            <w:tcW w:w="205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0E1300B8">
            <w:pPr>
              <w:pStyle w:val="11"/>
              <w:jc w:val="both"/>
            </w:pPr>
            <w:r>
              <w:rPr>
                <w:rFonts w:ascii="仿宋_GB2312" w:hAnsi="仿宋_GB2312" w:eastAsia="仿宋_GB2312" w:cs="仿宋_GB2312"/>
                <w:sz w:val="19"/>
              </w:rPr>
              <w:t xml:space="preserve"> 评审因素</w:t>
            </w:r>
          </w:p>
        </w:tc>
        <w:tc>
          <w:tcPr>
            <w:tcW w:w="226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29F85FCF">
            <w:pPr>
              <w:pStyle w:val="11"/>
              <w:jc w:val="both"/>
            </w:pPr>
            <w:r>
              <w:rPr>
                <w:rFonts w:ascii="仿宋_GB2312" w:hAnsi="仿宋_GB2312" w:eastAsia="仿宋_GB2312" w:cs="仿宋_GB2312"/>
                <w:sz w:val="19"/>
              </w:rPr>
              <w:t xml:space="preserve"> 评审标准</w:t>
            </w:r>
          </w:p>
        </w:tc>
        <w:tc>
          <w:tcPr>
            <w:tcW w:w="102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43F27ECD">
            <w:pPr>
              <w:pStyle w:val="11"/>
              <w:jc w:val="both"/>
            </w:pPr>
            <w:r>
              <w:rPr>
                <w:rFonts w:ascii="仿宋_GB2312" w:hAnsi="仿宋_GB2312" w:eastAsia="仿宋_GB2312" w:cs="仿宋_GB2312"/>
                <w:sz w:val="19"/>
              </w:rPr>
              <w:t xml:space="preserve"> 评审价格权重</w:t>
            </w:r>
          </w:p>
        </w:tc>
        <w:tc>
          <w:tcPr>
            <w:tcW w:w="205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70AD2EB7">
            <w:pPr>
              <w:pStyle w:val="11"/>
              <w:jc w:val="both"/>
            </w:pPr>
            <w:r>
              <w:rPr>
                <w:rFonts w:ascii="仿宋_GB2312" w:hAnsi="仿宋_GB2312" w:eastAsia="仿宋_GB2312" w:cs="仿宋_GB2312"/>
                <w:sz w:val="19"/>
              </w:rPr>
              <w:t xml:space="preserve"> 关联格式</w:t>
            </w:r>
          </w:p>
        </w:tc>
      </w:tr>
      <w:tr w14:paraId="64A3722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66370C70">
            <w:pPr>
              <w:pStyle w:val="11"/>
              <w:jc w:val="both"/>
            </w:pPr>
            <w:r>
              <w:rPr>
                <w:rFonts w:ascii="仿宋_GB2312" w:hAnsi="仿宋_GB2312" w:eastAsia="仿宋_GB2312" w:cs="仿宋_GB2312"/>
                <w:sz w:val="19"/>
              </w:rPr>
              <w:t>1</w:t>
            </w:r>
          </w:p>
        </w:tc>
        <w:tc>
          <w:tcPr>
            <w:tcW w:w="205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9720F34">
            <w:pPr>
              <w:pStyle w:val="11"/>
              <w:jc w:val="both"/>
              <w:rPr>
                <w:rFonts w:ascii="仿宋_GB2312" w:hAnsi="仿宋_GB2312" w:eastAsia="仿宋_GB2312" w:cs="仿宋_GB2312"/>
                <w:sz w:val="19"/>
              </w:rPr>
            </w:pPr>
            <w:r>
              <w:rPr>
                <w:rFonts w:ascii="仿宋_GB2312" w:hAnsi="仿宋_GB2312" w:eastAsia="仿宋_GB2312" w:cs="仿宋_GB2312"/>
                <w:sz w:val="19"/>
              </w:rPr>
              <w:t>复印机、专用耗材</w:t>
            </w:r>
          </w:p>
        </w:tc>
        <w:tc>
          <w:tcPr>
            <w:tcW w:w="226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89D1B1F">
            <w:pPr>
              <w:pStyle w:val="11"/>
              <w:jc w:val="both"/>
              <w:rPr>
                <w:rFonts w:ascii="仿宋_GB2312" w:hAnsi="仿宋_GB2312" w:eastAsia="仿宋_GB2312" w:cs="仿宋_GB2312"/>
                <w:sz w:val="19"/>
              </w:rPr>
            </w:pPr>
            <w:r>
              <w:rPr>
                <w:rFonts w:ascii="仿宋_GB2312" w:hAnsi="仿宋_GB2312" w:eastAsia="仿宋_GB2312" w:cs="仿宋_GB2312"/>
                <w:sz w:val="19"/>
              </w:rPr>
              <w:t>满足征集文件要求，复印机单台响应报价*60%+耗材单页打印成本响应报价*5000*40%。按响应报价从低到高排序。</w:t>
            </w:r>
          </w:p>
        </w:tc>
        <w:tc>
          <w:tcPr>
            <w:tcW w:w="102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2952B8A">
            <w:pPr>
              <w:pStyle w:val="11"/>
              <w:jc w:val="both"/>
            </w:pPr>
            <w:r>
              <w:rPr>
                <w:rFonts w:ascii="仿宋_GB2312" w:hAnsi="仿宋_GB2312" w:eastAsia="仿宋_GB2312" w:cs="仿宋_GB2312"/>
                <w:sz w:val="19"/>
              </w:rPr>
              <w:t>100%</w:t>
            </w:r>
          </w:p>
        </w:tc>
        <w:tc>
          <w:tcPr>
            <w:tcW w:w="205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709EA9B2">
            <w:pPr>
              <w:pStyle w:val="11"/>
              <w:jc w:val="both"/>
            </w:pPr>
            <w:r>
              <w:rPr>
                <w:rFonts w:ascii="仿宋_GB2312" w:hAnsi="仿宋_GB2312" w:eastAsia="仿宋_GB2312" w:cs="仿宋_GB2312"/>
                <w:sz w:val="19"/>
              </w:rPr>
              <w:t>报价一览表 报价明细表</w:t>
            </w:r>
          </w:p>
        </w:tc>
      </w:tr>
    </w:tbl>
    <w:p w14:paraId="35AC0259">
      <w:pPr>
        <w:pStyle w:val="11"/>
        <w:ind w:firstLine="400" w:firstLineChars="200"/>
        <w:jc w:val="left"/>
      </w:pPr>
      <w:r>
        <w:rPr>
          <w:rFonts w:ascii="仿宋_GB2312" w:hAnsi="仿宋_GB2312" w:eastAsia="仿宋_GB2312" w:cs="仿宋_GB2312"/>
        </w:rPr>
        <w:t>2.价格扣除</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9"/>
        <w:gridCol w:w="1646"/>
        <w:gridCol w:w="1646"/>
        <w:gridCol w:w="819"/>
        <w:gridCol w:w="1646"/>
        <w:gridCol w:w="1646"/>
      </w:tblGrid>
      <w:tr w14:paraId="36B74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9" w:type="dxa"/>
            <w:tcMar>
              <w:top w:w="0" w:type="dxa"/>
              <w:left w:w="105" w:type="dxa"/>
              <w:bottom w:w="0" w:type="dxa"/>
              <w:right w:w="105" w:type="dxa"/>
            </w:tcMar>
            <w:vAlign w:val="center"/>
          </w:tcPr>
          <w:p w14:paraId="1825E480">
            <w:pPr>
              <w:pStyle w:val="11"/>
              <w:jc w:val="both"/>
            </w:pPr>
            <w:r>
              <w:rPr>
                <w:rFonts w:ascii="仿宋_GB2312" w:hAnsi="仿宋_GB2312" w:eastAsia="仿宋_GB2312" w:cs="仿宋_GB2312"/>
                <w:sz w:val="19"/>
              </w:rPr>
              <w:t xml:space="preserve"> 序号</w:t>
            </w:r>
          </w:p>
        </w:tc>
        <w:tc>
          <w:tcPr>
            <w:tcW w:w="1646" w:type="dxa"/>
            <w:tcMar>
              <w:top w:w="0" w:type="dxa"/>
              <w:left w:w="105" w:type="dxa"/>
              <w:bottom w:w="0" w:type="dxa"/>
              <w:right w:w="105" w:type="dxa"/>
            </w:tcMar>
            <w:vAlign w:val="center"/>
          </w:tcPr>
          <w:p w14:paraId="5EDDABE9">
            <w:pPr>
              <w:pStyle w:val="11"/>
              <w:jc w:val="both"/>
            </w:pPr>
            <w:r>
              <w:rPr>
                <w:rFonts w:ascii="仿宋_GB2312" w:hAnsi="仿宋_GB2312" w:eastAsia="仿宋_GB2312" w:cs="仿宋_GB2312"/>
                <w:sz w:val="19"/>
              </w:rPr>
              <w:t xml:space="preserve"> 价格扣除评审内容</w:t>
            </w:r>
          </w:p>
        </w:tc>
        <w:tc>
          <w:tcPr>
            <w:tcW w:w="1646" w:type="dxa"/>
            <w:tcMar>
              <w:top w:w="0" w:type="dxa"/>
              <w:left w:w="105" w:type="dxa"/>
              <w:bottom w:w="0" w:type="dxa"/>
              <w:right w:w="105" w:type="dxa"/>
            </w:tcMar>
            <w:vAlign w:val="center"/>
          </w:tcPr>
          <w:p w14:paraId="65860628">
            <w:pPr>
              <w:pStyle w:val="11"/>
              <w:jc w:val="both"/>
            </w:pPr>
            <w:r>
              <w:rPr>
                <w:rFonts w:ascii="仿宋_GB2312" w:hAnsi="仿宋_GB2312" w:eastAsia="仿宋_GB2312" w:cs="仿宋_GB2312"/>
                <w:sz w:val="19"/>
              </w:rPr>
              <w:t xml:space="preserve"> 适用情形</w:t>
            </w:r>
          </w:p>
        </w:tc>
        <w:tc>
          <w:tcPr>
            <w:tcW w:w="819" w:type="dxa"/>
            <w:tcMar>
              <w:top w:w="0" w:type="dxa"/>
              <w:left w:w="105" w:type="dxa"/>
              <w:bottom w:w="0" w:type="dxa"/>
              <w:right w:w="105" w:type="dxa"/>
            </w:tcMar>
            <w:vAlign w:val="center"/>
          </w:tcPr>
          <w:p w14:paraId="1BC3E16A">
            <w:pPr>
              <w:pStyle w:val="11"/>
              <w:jc w:val="both"/>
            </w:pPr>
            <w:r>
              <w:rPr>
                <w:rFonts w:ascii="仿宋_GB2312" w:hAnsi="仿宋_GB2312" w:eastAsia="仿宋_GB2312" w:cs="仿宋_GB2312"/>
                <w:sz w:val="19"/>
              </w:rPr>
              <w:t xml:space="preserve"> 扣除比例（C1）</w:t>
            </w:r>
          </w:p>
        </w:tc>
        <w:tc>
          <w:tcPr>
            <w:tcW w:w="1646" w:type="dxa"/>
            <w:tcMar>
              <w:top w:w="0" w:type="dxa"/>
              <w:left w:w="105" w:type="dxa"/>
              <w:bottom w:w="0" w:type="dxa"/>
              <w:right w:w="105" w:type="dxa"/>
            </w:tcMar>
            <w:vAlign w:val="center"/>
          </w:tcPr>
          <w:p w14:paraId="527801D7">
            <w:pPr>
              <w:pStyle w:val="11"/>
              <w:jc w:val="both"/>
            </w:pPr>
            <w:r>
              <w:rPr>
                <w:rFonts w:ascii="仿宋_GB2312" w:hAnsi="仿宋_GB2312" w:eastAsia="仿宋_GB2312" w:cs="仿宋_GB2312"/>
                <w:sz w:val="19"/>
              </w:rPr>
              <w:t xml:space="preserve"> 具体标准和要求</w:t>
            </w:r>
          </w:p>
        </w:tc>
        <w:tc>
          <w:tcPr>
            <w:tcW w:w="1646" w:type="dxa"/>
            <w:tcMar>
              <w:top w:w="0" w:type="dxa"/>
              <w:left w:w="105" w:type="dxa"/>
              <w:bottom w:w="0" w:type="dxa"/>
              <w:right w:w="105" w:type="dxa"/>
            </w:tcMar>
            <w:vAlign w:val="center"/>
          </w:tcPr>
          <w:p w14:paraId="28F583CA">
            <w:pPr>
              <w:pStyle w:val="11"/>
              <w:jc w:val="both"/>
            </w:pPr>
            <w:r>
              <w:rPr>
                <w:rFonts w:ascii="仿宋_GB2312" w:hAnsi="仿宋_GB2312" w:eastAsia="仿宋_GB2312" w:cs="仿宋_GB2312"/>
                <w:sz w:val="19"/>
              </w:rPr>
              <w:t xml:space="preserve"> 关联格式</w:t>
            </w:r>
          </w:p>
        </w:tc>
      </w:tr>
      <w:tr w14:paraId="7463A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9" w:type="dxa"/>
            <w:tcMar>
              <w:top w:w="0" w:type="dxa"/>
              <w:left w:w="105" w:type="dxa"/>
              <w:bottom w:w="0" w:type="dxa"/>
              <w:right w:w="105" w:type="dxa"/>
            </w:tcMar>
            <w:vAlign w:val="center"/>
          </w:tcPr>
          <w:p w14:paraId="67E9ECAC">
            <w:pPr>
              <w:pStyle w:val="11"/>
              <w:jc w:val="both"/>
            </w:pPr>
            <w:r>
              <w:rPr>
                <w:rFonts w:ascii="仿宋_GB2312" w:hAnsi="仿宋_GB2312" w:eastAsia="仿宋_GB2312" w:cs="仿宋_GB2312"/>
                <w:sz w:val="19"/>
              </w:rPr>
              <w:t>1</w:t>
            </w:r>
          </w:p>
        </w:tc>
        <w:tc>
          <w:tcPr>
            <w:tcW w:w="1646" w:type="dxa"/>
            <w:tcMar>
              <w:top w:w="0" w:type="dxa"/>
              <w:left w:w="105" w:type="dxa"/>
              <w:bottom w:w="0" w:type="dxa"/>
              <w:right w:w="105" w:type="dxa"/>
            </w:tcMar>
            <w:vAlign w:val="center"/>
          </w:tcPr>
          <w:p w14:paraId="4655C410">
            <w:pPr>
              <w:pStyle w:val="11"/>
              <w:jc w:val="both"/>
            </w:pPr>
            <w:r>
              <w:rPr>
                <w:rFonts w:ascii="仿宋_GB2312" w:hAnsi="仿宋_GB2312" w:eastAsia="仿宋_GB2312" w:cs="仿宋_GB2312"/>
                <w:sz w:val="19"/>
              </w:rPr>
              <w:t>小型、微型企业，监狱企业，残疾人福利性单位</w:t>
            </w:r>
          </w:p>
        </w:tc>
        <w:tc>
          <w:tcPr>
            <w:tcW w:w="1646" w:type="dxa"/>
            <w:tcMar>
              <w:top w:w="0" w:type="dxa"/>
              <w:left w:w="105" w:type="dxa"/>
              <w:bottom w:w="0" w:type="dxa"/>
              <w:right w:w="105" w:type="dxa"/>
            </w:tcMar>
            <w:vAlign w:val="center"/>
          </w:tcPr>
          <w:p w14:paraId="1F664EB8">
            <w:pPr>
              <w:pStyle w:val="11"/>
              <w:jc w:val="both"/>
            </w:pPr>
            <w:r>
              <w:rPr>
                <w:rFonts w:ascii="仿宋_GB2312" w:hAnsi="仿宋_GB2312" w:eastAsia="仿宋_GB2312" w:cs="仿宋_GB2312"/>
                <w:sz w:val="19"/>
              </w:rPr>
              <w:t>供应商是小微企业、监狱企业或残疾人福利性单位</w:t>
            </w:r>
          </w:p>
        </w:tc>
        <w:tc>
          <w:tcPr>
            <w:tcW w:w="819" w:type="dxa"/>
            <w:tcMar>
              <w:top w:w="0" w:type="dxa"/>
              <w:left w:w="105" w:type="dxa"/>
              <w:bottom w:w="0" w:type="dxa"/>
              <w:right w:w="105" w:type="dxa"/>
            </w:tcMar>
            <w:vAlign w:val="center"/>
          </w:tcPr>
          <w:p w14:paraId="56DBB385">
            <w:pPr>
              <w:pStyle w:val="11"/>
              <w:jc w:val="both"/>
            </w:pPr>
            <w:r>
              <w:rPr>
                <w:rFonts w:ascii="仿宋_GB2312" w:hAnsi="仿宋_GB2312" w:eastAsia="仿宋_GB2312" w:cs="仿宋_GB2312"/>
                <w:sz w:val="19"/>
              </w:rPr>
              <w:t>10.00%</w:t>
            </w:r>
          </w:p>
        </w:tc>
        <w:tc>
          <w:tcPr>
            <w:tcW w:w="1646" w:type="dxa"/>
            <w:tcMar>
              <w:top w:w="0" w:type="dxa"/>
              <w:left w:w="105" w:type="dxa"/>
              <w:bottom w:w="0" w:type="dxa"/>
              <w:right w:w="105" w:type="dxa"/>
            </w:tcMar>
            <w:vAlign w:val="center"/>
          </w:tcPr>
          <w:p w14:paraId="4899D233">
            <w:pPr>
              <w:pStyle w:val="11"/>
              <w:jc w:val="both"/>
            </w:pPr>
            <w:r>
              <w:rPr>
                <w:rFonts w:ascii="仿宋_GB2312" w:hAnsi="仿宋_GB2312" w:eastAsia="仿宋_GB2312" w:cs="仿宋_GB2312"/>
                <w:sz w:val="19"/>
              </w:rPr>
              <w:t>本项目对货物由中小企业制造，即货物由中小企业生产且使用该中小企业商号或者注册商标时，给予10%的价格扣除。即对属于小型和微型企业的供应商的</w:t>
            </w:r>
            <w:r>
              <w:rPr>
                <w:rFonts w:hint="eastAsia" w:ascii="仿宋_GB2312" w:hAnsi="仿宋_GB2312" w:eastAsia="仿宋_GB2312" w:cs="仿宋_GB2312"/>
                <w:sz w:val="19"/>
                <w:lang w:eastAsia="zh-CN"/>
              </w:rPr>
              <w:t>投标（响应）</w:t>
            </w:r>
            <w:r>
              <w:rPr>
                <w:rFonts w:ascii="仿宋_GB2312" w:hAnsi="仿宋_GB2312" w:eastAsia="仿宋_GB2312" w:cs="仿宋_GB2312"/>
                <w:sz w:val="19"/>
              </w:rPr>
              <w:t>报价给予相应百分比的扣除，用扣除后的价格参与评审。残疾人福利性单位视同小型、微型企业，享受同等价格扣除，但同时属于残疾人福利性单位和小微企业的，不重复价格扣除。</w:t>
            </w:r>
          </w:p>
        </w:tc>
        <w:tc>
          <w:tcPr>
            <w:tcW w:w="1646" w:type="dxa"/>
            <w:tcMar>
              <w:top w:w="0" w:type="dxa"/>
              <w:left w:w="105" w:type="dxa"/>
              <w:bottom w:w="0" w:type="dxa"/>
              <w:right w:w="105" w:type="dxa"/>
            </w:tcMar>
            <w:vAlign w:val="center"/>
          </w:tcPr>
          <w:p w14:paraId="1570729B">
            <w:pPr>
              <w:pStyle w:val="11"/>
              <w:jc w:val="both"/>
            </w:pPr>
            <w:r>
              <w:rPr>
                <w:rFonts w:ascii="仿宋_GB2312" w:hAnsi="仿宋_GB2312" w:eastAsia="仿宋_GB2312" w:cs="仿宋_GB2312"/>
                <w:sz w:val="19"/>
              </w:rPr>
              <w:t>中小企业声明函、残疾人福利性单位声明函及监狱企业声明函</w:t>
            </w:r>
          </w:p>
        </w:tc>
      </w:tr>
      <w:tr w14:paraId="57DDC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9" w:type="dxa"/>
            <w:tcMar>
              <w:top w:w="0" w:type="dxa"/>
              <w:left w:w="105" w:type="dxa"/>
              <w:bottom w:w="0" w:type="dxa"/>
              <w:right w:w="105" w:type="dxa"/>
            </w:tcMar>
            <w:vAlign w:val="center"/>
          </w:tcPr>
          <w:p w14:paraId="18811665">
            <w:pPr>
              <w:pStyle w:val="11"/>
              <w:jc w:val="both"/>
              <w:rPr>
                <w:rFonts w:ascii="仿宋_GB2312" w:hAnsi="仿宋_GB2312" w:eastAsia="仿宋_GB2312" w:cs="仿宋_GB2312"/>
                <w:sz w:val="19"/>
              </w:rPr>
            </w:pPr>
            <w:r>
              <w:rPr>
                <w:rFonts w:ascii="仿宋_GB2312" w:hAnsi="仿宋_GB2312" w:eastAsia="仿宋_GB2312" w:cs="仿宋_GB2312"/>
                <w:sz w:val="19"/>
              </w:rPr>
              <w:t>2</w:t>
            </w:r>
          </w:p>
        </w:tc>
        <w:tc>
          <w:tcPr>
            <w:tcW w:w="1646" w:type="dxa"/>
            <w:tcMar>
              <w:top w:w="0" w:type="dxa"/>
              <w:left w:w="105" w:type="dxa"/>
              <w:bottom w:w="0" w:type="dxa"/>
              <w:right w:w="105" w:type="dxa"/>
            </w:tcMar>
            <w:vAlign w:val="center"/>
          </w:tcPr>
          <w:p w14:paraId="55E7E9EA">
            <w:pPr>
              <w:pStyle w:val="11"/>
              <w:jc w:val="both"/>
              <w:rPr>
                <w:rFonts w:ascii="仿宋_GB2312" w:hAnsi="仿宋_GB2312" w:eastAsia="仿宋_GB2312" w:cs="仿宋_GB2312"/>
                <w:sz w:val="19"/>
              </w:rPr>
            </w:pPr>
            <w:r>
              <w:rPr>
                <w:rFonts w:ascii="仿宋_GB2312" w:hAnsi="仿宋_GB2312" w:eastAsia="仿宋_GB2312" w:cs="仿宋_GB2312"/>
                <w:sz w:val="19"/>
              </w:rPr>
              <w:t>环保产品</w:t>
            </w:r>
          </w:p>
        </w:tc>
        <w:tc>
          <w:tcPr>
            <w:tcW w:w="1646" w:type="dxa"/>
            <w:tcMar>
              <w:top w:w="0" w:type="dxa"/>
              <w:left w:w="105" w:type="dxa"/>
              <w:bottom w:w="0" w:type="dxa"/>
              <w:right w:w="105" w:type="dxa"/>
            </w:tcMar>
            <w:vAlign w:val="center"/>
          </w:tcPr>
          <w:p w14:paraId="0B741B95">
            <w:pPr>
              <w:pStyle w:val="11"/>
              <w:jc w:val="both"/>
              <w:rPr>
                <w:rFonts w:ascii="仿宋_GB2312" w:hAnsi="仿宋_GB2312" w:eastAsia="仿宋_GB2312" w:cs="仿宋_GB2312"/>
                <w:sz w:val="19"/>
              </w:rPr>
            </w:pPr>
            <w:r>
              <w:rPr>
                <w:rFonts w:ascii="仿宋_GB2312" w:hAnsi="仿宋_GB2312" w:eastAsia="仿宋_GB2312" w:cs="仿宋_GB2312"/>
                <w:sz w:val="19"/>
              </w:rPr>
              <w:t>环保产品</w:t>
            </w:r>
          </w:p>
        </w:tc>
        <w:tc>
          <w:tcPr>
            <w:tcW w:w="819" w:type="dxa"/>
            <w:tcMar>
              <w:top w:w="0" w:type="dxa"/>
              <w:left w:w="105" w:type="dxa"/>
              <w:bottom w:w="0" w:type="dxa"/>
              <w:right w:w="105" w:type="dxa"/>
            </w:tcMar>
            <w:vAlign w:val="center"/>
          </w:tcPr>
          <w:p w14:paraId="157F7CD4">
            <w:pPr>
              <w:pStyle w:val="11"/>
              <w:jc w:val="both"/>
              <w:rPr>
                <w:rFonts w:ascii="仿宋_GB2312" w:hAnsi="仿宋_GB2312" w:eastAsia="仿宋_GB2312" w:cs="仿宋_GB2312"/>
                <w:sz w:val="19"/>
              </w:rPr>
            </w:pPr>
            <w:r>
              <w:rPr>
                <w:rFonts w:ascii="仿宋_GB2312" w:hAnsi="仿宋_GB2312" w:eastAsia="仿宋_GB2312" w:cs="仿宋_GB2312"/>
                <w:sz w:val="19"/>
              </w:rPr>
              <w:t>5.00%</w:t>
            </w:r>
          </w:p>
        </w:tc>
        <w:tc>
          <w:tcPr>
            <w:tcW w:w="1646" w:type="dxa"/>
            <w:tcMar>
              <w:top w:w="0" w:type="dxa"/>
              <w:left w:w="105" w:type="dxa"/>
              <w:bottom w:w="0" w:type="dxa"/>
              <w:right w:w="105" w:type="dxa"/>
            </w:tcMar>
            <w:vAlign w:val="top"/>
          </w:tcPr>
          <w:p w14:paraId="345B1C19">
            <w:pPr>
              <w:pStyle w:val="11"/>
              <w:jc w:val="both"/>
              <w:rPr>
                <w:rFonts w:ascii="仿宋_GB2312" w:hAnsi="仿宋_GB2312" w:eastAsia="仿宋_GB2312" w:cs="仿宋_GB2312"/>
                <w:sz w:val="19"/>
              </w:rPr>
            </w:pPr>
            <w:r>
              <w:rPr>
                <w:rFonts w:ascii="仿宋_GB2312" w:hAnsi="仿宋_GB2312" w:eastAsia="仿宋_GB2312" w:cs="仿宋_GB2312"/>
                <w:sz w:val="19"/>
              </w:rPr>
              <w:t>环保产品优先采购，对报价给予相应百分比的价格扣除，用扣除后的价格参与评审。</w:t>
            </w:r>
          </w:p>
        </w:tc>
        <w:tc>
          <w:tcPr>
            <w:tcW w:w="1646" w:type="dxa"/>
            <w:tcMar>
              <w:top w:w="0" w:type="dxa"/>
              <w:left w:w="105" w:type="dxa"/>
              <w:bottom w:w="0" w:type="dxa"/>
              <w:right w:w="105" w:type="dxa"/>
            </w:tcMar>
            <w:vAlign w:val="top"/>
          </w:tcPr>
          <w:p w14:paraId="18634128">
            <w:pPr>
              <w:pStyle w:val="11"/>
              <w:jc w:val="both"/>
              <w:rPr>
                <w:rFonts w:ascii="仿宋_GB2312" w:hAnsi="仿宋_GB2312" w:eastAsia="仿宋_GB2312" w:cs="仿宋_GB2312"/>
                <w:sz w:val="19"/>
              </w:rPr>
            </w:pPr>
            <w:r>
              <w:rPr>
                <w:rFonts w:ascii="仿宋_GB2312" w:hAnsi="仿宋_GB2312" w:eastAsia="仿宋_GB2312" w:cs="仿宋_GB2312"/>
                <w:sz w:val="19"/>
              </w:rPr>
              <w:t>环境标志产品认证证书</w:t>
            </w:r>
          </w:p>
        </w:tc>
      </w:tr>
      <w:tr w14:paraId="1C195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9" w:type="dxa"/>
            <w:tcMar>
              <w:top w:w="0" w:type="dxa"/>
              <w:left w:w="105" w:type="dxa"/>
              <w:bottom w:w="0" w:type="dxa"/>
              <w:right w:w="105" w:type="dxa"/>
            </w:tcMar>
            <w:vAlign w:val="center"/>
          </w:tcPr>
          <w:p w14:paraId="35B515AF">
            <w:pPr>
              <w:pStyle w:val="11"/>
              <w:jc w:val="both"/>
            </w:pPr>
            <w:r>
              <w:rPr>
                <w:rFonts w:ascii="仿宋_GB2312" w:hAnsi="仿宋_GB2312" w:eastAsia="仿宋_GB2312" w:cs="仿宋_GB2312"/>
                <w:sz w:val="19"/>
              </w:rPr>
              <w:t>3</w:t>
            </w:r>
          </w:p>
        </w:tc>
        <w:tc>
          <w:tcPr>
            <w:tcW w:w="1646" w:type="dxa"/>
            <w:tcMar>
              <w:top w:w="0" w:type="dxa"/>
              <w:left w:w="105" w:type="dxa"/>
              <w:bottom w:w="0" w:type="dxa"/>
              <w:right w:w="105" w:type="dxa"/>
            </w:tcMar>
            <w:vAlign w:val="center"/>
          </w:tcPr>
          <w:p w14:paraId="0F87EBA3">
            <w:pPr>
              <w:pStyle w:val="11"/>
              <w:jc w:val="both"/>
            </w:pPr>
            <w:r>
              <w:rPr>
                <w:rFonts w:ascii="仿宋_GB2312" w:hAnsi="仿宋_GB2312" w:eastAsia="仿宋_GB2312" w:cs="仿宋_GB2312"/>
                <w:sz w:val="19"/>
              </w:rPr>
              <w:t>商品包装承诺</w:t>
            </w:r>
          </w:p>
        </w:tc>
        <w:tc>
          <w:tcPr>
            <w:tcW w:w="1646" w:type="dxa"/>
            <w:tcMar>
              <w:top w:w="0" w:type="dxa"/>
              <w:left w:w="105" w:type="dxa"/>
              <w:bottom w:w="0" w:type="dxa"/>
              <w:right w:w="105" w:type="dxa"/>
            </w:tcMar>
            <w:vAlign w:val="center"/>
          </w:tcPr>
          <w:p w14:paraId="58EC8955">
            <w:pPr>
              <w:pStyle w:val="11"/>
              <w:jc w:val="both"/>
            </w:pPr>
            <w:r>
              <w:rPr>
                <w:rFonts w:ascii="仿宋_GB2312" w:hAnsi="仿宋_GB2312" w:eastAsia="仿宋_GB2312" w:cs="仿宋_GB2312"/>
                <w:sz w:val="19"/>
              </w:rPr>
              <w:t>采用环保材料进行包装</w:t>
            </w:r>
          </w:p>
        </w:tc>
        <w:tc>
          <w:tcPr>
            <w:tcW w:w="819" w:type="dxa"/>
            <w:tcMar>
              <w:top w:w="0" w:type="dxa"/>
              <w:left w:w="105" w:type="dxa"/>
              <w:bottom w:w="0" w:type="dxa"/>
              <w:right w:w="105" w:type="dxa"/>
            </w:tcMar>
            <w:vAlign w:val="center"/>
          </w:tcPr>
          <w:p w14:paraId="50C4D97B">
            <w:pPr>
              <w:pStyle w:val="11"/>
              <w:jc w:val="both"/>
            </w:pPr>
            <w:r>
              <w:rPr>
                <w:rFonts w:ascii="仿宋_GB2312" w:hAnsi="仿宋_GB2312" w:eastAsia="仿宋_GB2312" w:cs="仿宋_GB2312"/>
                <w:sz w:val="19"/>
              </w:rPr>
              <w:t>1.00%</w:t>
            </w:r>
          </w:p>
        </w:tc>
        <w:tc>
          <w:tcPr>
            <w:tcW w:w="1646" w:type="dxa"/>
            <w:tcMar>
              <w:top w:w="0" w:type="dxa"/>
              <w:left w:w="105" w:type="dxa"/>
              <w:bottom w:w="0" w:type="dxa"/>
              <w:right w:w="105" w:type="dxa"/>
            </w:tcMar>
            <w:vAlign w:val="center"/>
          </w:tcPr>
          <w:p w14:paraId="20722A51">
            <w:pPr>
              <w:pStyle w:val="11"/>
              <w:jc w:val="both"/>
            </w:pPr>
            <w:r>
              <w:rPr>
                <w:rFonts w:ascii="仿宋_GB2312" w:hAnsi="仿宋_GB2312" w:eastAsia="仿宋_GB2312" w:cs="仿宋_GB2312"/>
                <w:sz w:val="19"/>
              </w:rPr>
              <w:t>符合《商品包装政府采购需求标准（试行）》《快递包装政府采购需求标准（试行）》（财办库〔2020〕123号文）要求的，对报价给予相应百分比的价格扣除，用扣除后的价格参与评审。</w:t>
            </w:r>
          </w:p>
        </w:tc>
        <w:tc>
          <w:tcPr>
            <w:tcW w:w="1646" w:type="dxa"/>
            <w:tcMar>
              <w:top w:w="0" w:type="dxa"/>
              <w:left w:w="105" w:type="dxa"/>
              <w:bottom w:w="0" w:type="dxa"/>
              <w:right w:w="105" w:type="dxa"/>
            </w:tcMar>
            <w:vAlign w:val="center"/>
          </w:tcPr>
          <w:p w14:paraId="3C0179AE">
            <w:pPr>
              <w:pStyle w:val="11"/>
              <w:jc w:val="both"/>
            </w:pPr>
            <w:r>
              <w:rPr>
                <w:rFonts w:ascii="仿宋_GB2312" w:hAnsi="仿宋_GB2312" w:eastAsia="仿宋_GB2312" w:cs="仿宋_GB2312"/>
                <w:sz w:val="19"/>
              </w:rPr>
              <w:t>商品包装承诺函</w:t>
            </w:r>
          </w:p>
        </w:tc>
      </w:tr>
      <w:tr w14:paraId="3E0A9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9" w:type="dxa"/>
            <w:shd w:val="clear" w:color="auto" w:fill="auto"/>
            <w:tcMar>
              <w:top w:w="0" w:type="dxa"/>
              <w:left w:w="105" w:type="dxa"/>
              <w:bottom w:w="0" w:type="dxa"/>
              <w:right w:w="105" w:type="dxa"/>
            </w:tcMar>
            <w:vAlign w:val="center"/>
          </w:tcPr>
          <w:p w14:paraId="2750AEC4">
            <w:pPr>
              <w:pStyle w:val="11"/>
              <w:jc w:val="both"/>
              <w:rPr>
                <w:rFonts w:hint="eastAsia"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4</w:t>
            </w:r>
          </w:p>
        </w:tc>
        <w:tc>
          <w:tcPr>
            <w:tcW w:w="1646" w:type="dxa"/>
            <w:shd w:val="clear" w:color="auto" w:fill="auto"/>
            <w:tcMar>
              <w:top w:w="0" w:type="dxa"/>
              <w:left w:w="105" w:type="dxa"/>
              <w:bottom w:w="0" w:type="dxa"/>
              <w:right w:w="105" w:type="dxa"/>
            </w:tcMar>
            <w:vAlign w:val="center"/>
          </w:tcPr>
          <w:p w14:paraId="66E8C57E">
            <w:pPr>
              <w:pStyle w:val="11"/>
              <w:jc w:val="both"/>
              <w:rPr>
                <w:rFonts w:hint="eastAsia" w:ascii="仿宋_GB2312" w:hAnsi="仿宋_GB2312" w:eastAsia="仿宋_GB2312" w:cs="仿宋_GB2312"/>
                <w:sz w:val="19"/>
                <w:lang w:val="en-US" w:eastAsia="zh-CN"/>
              </w:rPr>
            </w:pPr>
            <w:r>
              <w:rPr>
                <w:rFonts w:hint="eastAsia" w:ascii="仿宋_GB2312" w:hAnsi="仿宋_GB2312" w:eastAsia="仿宋_GB2312" w:cs="仿宋_GB2312"/>
                <w:i w:val="0"/>
                <w:iCs w:val="0"/>
                <w:caps w:val="0"/>
                <w:color w:val="auto"/>
                <w:spacing w:val="0"/>
                <w:kern w:val="0"/>
                <w:sz w:val="20"/>
                <w:szCs w:val="20"/>
                <w:shd w:val="clear"/>
                <w:lang w:eastAsia="zh-Hans"/>
              </w:rPr>
              <w:t>本国产品</w:t>
            </w:r>
            <w:r>
              <w:rPr>
                <w:rFonts w:hint="eastAsia" w:ascii="仿宋_GB2312" w:hAnsi="仿宋_GB2312" w:eastAsia="仿宋_GB2312" w:cs="仿宋_GB2312"/>
                <w:i w:val="0"/>
                <w:iCs w:val="0"/>
                <w:caps w:val="0"/>
                <w:color w:val="auto"/>
                <w:spacing w:val="0"/>
                <w:kern w:val="0"/>
                <w:sz w:val="20"/>
                <w:szCs w:val="20"/>
                <w:shd w:val="clear"/>
                <w:lang w:val="en-US" w:eastAsia="zh-CN"/>
              </w:rPr>
              <w:t>声明</w:t>
            </w:r>
          </w:p>
        </w:tc>
        <w:tc>
          <w:tcPr>
            <w:tcW w:w="1646" w:type="dxa"/>
            <w:shd w:val="clear" w:color="auto" w:fill="auto"/>
            <w:tcMar>
              <w:top w:w="0" w:type="dxa"/>
              <w:left w:w="105" w:type="dxa"/>
              <w:bottom w:w="0" w:type="dxa"/>
              <w:right w:w="105" w:type="dxa"/>
            </w:tcMar>
            <w:vAlign w:val="center"/>
          </w:tcPr>
          <w:p w14:paraId="62761DE3">
            <w:pPr>
              <w:pStyle w:val="11"/>
              <w:jc w:val="both"/>
              <w:rPr>
                <w:rFonts w:hint="eastAsia" w:ascii="仿宋_GB2312" w:hAnsi="仿宋_GB2312" w:eastAsia="仿宋_GB2312" w:cs="仿宋_GB2312"/>
                <w:sz w:val="19"/>
                <w:lang w:val="en-US" w:eastAsia="zh-Hans"/>
              </w:rPr>
            </w:pPr>
            <w:r>
              <w:rPr>
                <w:rFonts w:hint="eastAsia" w:ascii="仿宋_GB2312" w:hAnsi="仿宋_GB2312" w:eastAsia="仿宋_GB2312" w:cs="仿宋_GB2312"/>
                <w:b w:val="0"/>
                <w:bCs w:val="0"/>
                <w:color w:val="auto"/>
                <w:sz w:val="19"/>
                <w:lang w:val="en-US" w:eastAsia="zh-CN"/>
              </w:rPr>
              <w:t>符合本国产品</w:t>
            </w:r>
            <w:r>
              <w:rPr>
                <w:rFonts w:hint="eastAsia" w:ascii="仿宋_GB2312" w:hAnsi="仿宋_GB2312" w:eastAsia="仿宋_GB2312" w:cs="仿宋_GB2312"/>
                <w:b w:val="0"/>
                <w:bCs w:val="0"/>
                <w:sz w:val="19"/>
                <w:lang w:val="en-US" w:eastAsia="zh-CN"/>
              </w:rPr>
              <w:t>标准</w:t>
            </w:r>
          </w:p>
        </w:tc>
        <w:tc>
          <w:tcPr>
            <w:tcW w:w="819" w:type="dxa"/>
            <w:shd w:val="clear" w:color="auto" w:fill="auto"/>
            <w:tcMar>
              <w:top w:w="0" w:type="dxa"/>
              <w:left w:w="105" w:type="dxa"/>
              <w:bottom w:w="0" w:type="dxa"/>
              <w:right w:w="105" w:type="dxa"/>
            </w:tcMar>
            <w:vAlign w:val="center"/>
          </w:tcPr>
          <w:p w14:paraId="3C05F9B8">
            <w:pPr>
              <w:pStyle w:val="11"/>
              <w:jc w:val="both"/>
              <w:rPr>
                <w:rFonts w:hint="eastAsia" w:ascii="仿宋_GB2312" w:hAnsi="仿宋_GB2312" w:eastAsia="仿宋_GB2312" w:cs="仿宋_GB2312"/>
                <w:snapToGrid w:val="0"/>
                <w:color w:val="000000"/>
                <w:sz w:val="19"/>
                <w:lang w:val="en-US" w:eastAsia="zh-Hans" w:bidi="ar"/>
              </w:rPr>
            </w:pPr>
            <w:r>
              <w:rPr>
                <w:rFonts w:hint="eastAsia" w:ascii="仿宋_GB2312" w:hAnsi="仿宋_GB2312" w:eastAsia="仿宋_GB2312" w:cs="仿宋_GB2312"/>
                <w:snapToGrid w:val="0"/>
                <w:color w:val="000000"/>
                <w:sz w:val="19"/>
                <w:lang w:val="en-US" w:eastAsia="zh-Hans" w:bidi="ar"/>
              </w:rPr>
              <w:t>20.00%</w:t>
            </w:r>
          </w:p>
        </w:tc>
        <w:tc>
          <w:tcPr>
            <w:tcW w:w="1646" w:type="dxa"/>
            <w:shd w:val="clear" w:color="auto" w:fill="auto"/>
            <w:tcMar>
              <w:top w:w="0" w:type="dxa"/>
              <w:left w:w="105" w:type="dxa"/>
              <w:bottom w:w="0" w:type="dxa"/>
              <w:right w:w="105" w:type="dxa"/>
            </w:tcMar>
            <w:vAlign w:val="center"/>
          </w:tcPr>
          <w:p w14:paraId="26E5DD9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9" w:lineRule="atLeast"/>
              <w:ind w:left="0" w:leftChars="0" w:right="0" w:rightChars="0" w:firstLine="0" w:firstLineChars="0"/>
              <w:rPr>
                <w:rFonts w:hint="eastAsia" w:ascii="仿宋_GB2312" w:hAnsi="仿宋_GB2312" w:eastAsia="仿宋_GB2312" w:cs="仿宋_GB2312"/>
                <w:snapToGrid w:val="0"/>
                <w:color w:val="000000"/>
                <w:kern w:val="0"/>
                <w:sz w:val="19"/>
                <w:szCs w:val="20"/>
                <w:lang w:val="en-US" w:eastAsia="zh-Hans" w:bidi="ar"/>
              </w:rPr>
            </w:pPr>
            <w:r>
              <w:rPr>
                <w:rFonts w:ascii="仿宋_GB2312" w:hAnsi="仿宋_GB2312" w:eastAsia="仿宋_GB2312" w:cs="仿宋_GB2312"/>
                <w:sz w:val="19"/>
              </w:rPr>
              <w:t>政府采购活动中既有本国产品又有非本国产品参与竞争的，依法对本国产品给予价格评审优惠，对本国产品的报价给予20%的价格扣除，用扣除后的价格参与评审。</w:t>
            </w:r>
          </w:p>
        </w:tc>
        <w:tc>
          <w:tcPr>
            <w:tcW w:w="1646" w:type="dxa"/>
            <w:shd w:val="clear" w:color="auto" w:fill="auto"/>
            <w:tcMar>
              <w:top w:w="0" w:type="dxa"/>
              <w:left w:w="105" w:type="dxa"/>
              <w:bottom w:w="0" w:type="dxa"/>
              <w:right w:w="105" w:type="dxa"/>
            </w:tcMar>
            <w:vAlign w:val="center"/>
          </w:tcPr>
          <w:p w14:paraId="60269C5D">
            <w:pPr>
              <w:pStyle w:val="10"/>
              <w:jc w:val="center"/>
              <w:rPr>
                <w:rFonts w:hint="eastAsia" w:ascii="仿宋_GB2312" w:hAnsi="仿宋_GB2312" w:eastAsia="仿宋_GB2312" w:cs="仿宋_GB2312"/>
                <w:b w:val="0"/>
                <w:kern w:val="0"/>
                <w:sz w:val="19"/>
                <w:szCs w:val="20"/>
                <w:lang w:val="en-US" w:eastAsia="zh-CN"/>
              </w:rPr>
            </w:pPr>
            <w:r>
              <w:rPr>
                <w:rFonts w:hint="eastAsia" w:ascii="仿宋_GB2312" w:hAnsi="仿宋_GB2312" w:eastAsia="仿宋_GB2312" w:cs="仿宋_GB2312"/>
                <w:b w:val="0"/>
                <w:i w:val="0"/>
                <w:iCs w:val="0"/>
                <w:caps w:val="0"/>
                <w:spacing w:val="0"/>
                <w:kern w:val="0"/>
                <w:sz w:val="19"/>
                <w:szCs w:val="20"/>
                <w:shd w:val="clear"/>
              </w:rPr>
              <w:t>关于符合本国产品标准的声明函</w:t>
            </w:r>
          </w:p>
          <w:p w14:paraId="570E621F">
            <w:pPr>
              <w:pStyle w:val="11"/>
              <w:jc w:val="both"/>
              <w:rPr>
                <w:rFonts w:hint="eastAsia" w:ascii="仿宋_GB2312" w:hAnsi="仿宋_GB2312" w:eastAsia="仿宋_GB2312" w:cs="仿宋_GB2312"/>
                <w:sz w:val="19"/>
                <w:lang w:val="en-US" w:eastAsia="zh-Hans"/>
              </w:rPr>
            </w:pPr>
          </w:p>
        </w:tc>
      </w:tr>
    </w:tbl>
    <w:p w14:paraId="3C641B9F">
      <w:pPr>
        <w:pStyle w:val="11"/>
        <w:ind w:firstLine="480"/>
        <w:jc w:val="both"/>
      </w:pPr>
      <w:r>
        <w:rPr>
          <w:rFonts w:ascii="仿宋_GB2312" w:hAnsi="仿宋_GB2312" w:eastAsia="仿宋_GB2312" w:cs="仿宋_GB2312"/>
        </w:rPr>
        <w:t xml:space="preserve"> （1）供应商提供的货物全部均由优惠主体制造，则对其</w:t>
      </w:r>
      <w:r>
        <w:rPr>
          <w:rFonts w:hint="eastAsia" w:ascii="仿宋_GB2312" w:hAnsi="仿宋_GB2312" w:eastAsia="仿宋_GB2312" w:cs="仿宋_GB2312"/>
          <w:lang w:eastAsia="zh-CN"/>
        </w:rPr>
        <w:t>投标（响应）</w:t>
      </w:r>
      <w:r>
        <w:rPr>
          <w:rFonts w:ascii="仿宋_GB2312" w:hAnsi="仿宋_GB2312" w:eastAsia="仿宋_GB2312" w:cs="仿宋_GB2312"/>
        </w:rPr>
        <w:t>价格给予10%的价格扣除，用扣除后的价格参与评审。</w:t>
      </w:r>
    </w:p>
    <w:p w14:paraId="3EC8846E">
      <w:pPr>
        <w:pStyle w:val="11"/>
        <w:ind w:firstLine="480"/>
        <w:jc w:val="both"/>
      </w:pPr>
      <w:r>
        <w:rPr>
          <w:rFonts w:ascii="仿宋_GB2312" w:hAnsi="仿宋_GB2312" w:eastAsia="仿宋_GB2312" w:cs="仿宋_GB2312"/>
        </w:rPr>
        <w:t xml:space="preserve"> 优惠主体包括小型企业、微型企业、监狱企业、残疾人福利性单位；中小企业是指在中华人民共和国境内依法设立，依据国务院批准的中小企业划分标准确定的中型企业、小型企业、微型企业，但与大企业的负责人为同一人，或者与大企业存在直接控股、管理关系的除外；符合中小企业划分标准的个体工商户，在政府采购活动中视同中小企业。</w:t>
      </w:r>
    </w:p>
    <w:p w14:paraId="68962025">
      <w:pPr>
        <w:pStyle w:val="11"/>
        <w:ind w:firstLine="480"/>
        <w:jc w:val="both"/>
      </w:pPr>
      <w:r>
        <w:rPr>
          <w:rFonts w:ascii="仿宋_GB2312" w:hAnsi="仿宋_GB2312" w:eastAsia="仿宋_GB2312" w:cs="仿宋_GB2312"/>
        </w:rPr>
        <w:t xml:space="preserve"> </w:t>
      </w:r>
      <w:r>
        <w:rPr>
          <w:rFonts w:ascii="仿宋_GB2312" w:hAnsi="仿宋_GB2312" w:eastAsia="仿宋_GB2312" w:cs="仿宋_GB2312"/>
          <w:b/>
          <w:bCs/>
          <w:color w:val="FF0000"/>
        </w:rPr>
        <w:t>优惠主体制造是指货物由优惠主体生产且使用该优惠主体商号或者注册商标</w:t>
      </w:r>
      <w:r>
        <w:rPr>
          <w:rFonts w:ascii="仿宋_GB2312" w:hAnsi="仿宋_GB2312" w:eastAsia="仿宋_GB2312" w:cs="仿宋_GB2312"/>
        </w:rPr>
        <w:t>；供应商提供的货物既有优惠主体制造货物，又有非优惠主体制造货物的，不给予价格扣除。</w:t>
      </w:r>
    </w:p>
    <w:p w14:paraId="1F25A4F8">
      <w:pPr>
        <w:pStyle w:val="11"/>
        <w:ind w:firstLine="480"/>
        <w:jc w:val="both"/>
      </w:pPr>
      <w:r>
        <w:rPr>
          <w:rFonts w:ascii="仿宋_GB2312" w:hAnsi="仿宋_GB2312" w:eastAsia="仿宋_GB2312" w:cs="仿宋_GB2312"/>
        </w:rPr>
        <w:t xml:space="preserve"> 中小企业参加政府采购活动，应当按照国务院批准的《中小企业划型标准规定》（工信部联企业〔2011〕300号）、《金融业企业划型标准规定》（银发〔2015〕309号）和《财政部 工业和信息化部关于印发〈政府采购促进中小企业发展管理办法〉的通知》（财库〔2020〕46号）的规定，出具《中小企业声明函》,《中小企业声明函》中相关企业（货物制造商）所属行业应当与采购标的所属行业相一致。本项目</w:t>
      </w:r>
      <w:r>
        <w:rPr>
          <w:rFonts w:ascii="仿宋_GB2312" w:hAnsi="仿宋_GB2312" w:eastAsia="仿宋_GB2312" w:cs="仿宋_GB2312"/>
          <w:b/>
          <w:bCs/>
          <w:color w:val="FF0000"/>
        </w:rPr>
        <w:t>采购标的（</w:t>
      </w:r>
      <w:r>
        <w:rPr>
          <w:rFonts w:hint="eastAsia" w:ascii="仿宋_GB2312" w:hAnsi="仿宋_GB2312" w:eastAsia="仿宋_GB2312" w:cs="仿宋_GB2312"/>
          <w:b/>
          <w:bCs/>
          <w:color w:val="FF0000"/>
          <w:lang w:val="en-US" w:eastAsia="zh-CN"/>
        </w:rPr>
        <w:t>复印机</w:t>
      </w:r>
      <w:r>
        <w:rPr>
          <w:rFonts w:ascii="仿宋_GB2312" w:hAnsi="仿宋_GB2312" w:eastAsia="仿宋_GB2312" w:cs="仿宋_GB2312"/>
          <w:b/>
          <w:bCs/>
          <w:color w:val="FF0000"/>
        </w:rPr>
        <w:t>）</w:t>
      </w:r>
      <w:r>
        <w:rPr>
          <w:rFonts w:ascii="仿宋_GB2312" w:hAnsi="仿宋_GB2312" w:eastAsia="仿宋_GB2312" w:cs="仿宋_GB2312"/>
        </w:rPr>
        <w:t>对应的中小企业划分标准所属行业为</w:t>
      </w:r>
      <w:r>
        <w:rPr>
          <w:rFonts w:ascii="仿宋_GB2312" w:hAnsi="仿宋_GB2312" w:eastAsia="仿宋_GB2312" w:cs="仿宋_GB2312"/>
          <w:b/>
          <w:bCs/>
          <w:color w:val="FF0000"/>
        </w:rPr>
        <w:t>工业</w:t>
      </w:r>
      <w:r>
        <w:rPr>
          <w:rFonts w:ascii="仿宋_GB2312" w:hAnsi="仿宋_GB2312" w:eastAsia="仿宋_GB2312" w:cs="仿宋_GB2312"/>
        </w:rPr>
        <w:t>。</w:t>
      </w:r>
    </w:p>
    <w:p w14:paraId="623EAFEB">
      <w:pPr>
        <w:pStyle w:val="11"/>
        <w:ind w:firstLine="480"/>
        <w:jc w:val="both"/>
      </w:pPr>
      <w:r>
        <w:rPr>
          <w:rFonts w:ascii="仿宋_GB2312" w:hAnsi="仿宋_GB2312" w:eastAsia="仿宋_GB2312" w:cs="仿宋_GB2312"/>
        </w:rPr>
        <w:t xml:space="preserve"> 小型企业、微型企业、残疾人福利性单位作为优惠主体的认定资料为《中小企业声明函》《残疾人福利性单位声明函》；监狱企业作为优惠主体的认定资料为省级以上监狱管理局、戒毒管理局出具的监狱企业证明文件。声明函样式见“</w:t>
      </w:r>
      <w:r>
        <w:rPr>
          <w:rFonts w:hint="eastAsia" w:ascii="仿宋_GB2312" w:hAnsi="仿宋_GB2312" w:eastAsia="仿宋_GB2312" w:cs="仿宋_GB2312"/>
          <w:lang w:eastAsia="zh-CN"/>
        </w:rPr>
        <w:t>投标（响应）</w:t>
      </w:r>
      <w:r>
        <w:rPr>
          <w:rFonts w:ascii="仿宋_GB2312" w:hAnsi="仿宋_GB2312" w:eastAsia="仿宋_GB2312" w:cs="仿宋_GB2312"/>
        </w:rPr>
        <w:t>文件格式”提供的格式。</w:t>
      </w:r>
    </w:p>
    <w:p w14:paraId="3BDEC5AD">
      <w:pPr>
        <w:pStyle w:val="11"/>
        <w:ind w:firstLine="480"/>
        <w:jc w:val="both"/>
      </w:pPr>
      <w:r>
        <w:rPr>
          <w:rFonts w:ascii="仿宋_GB2312" w:hAnsi="仿宋_GB2312" w:eastAsia="仿宋_GB2312" w:cs="仿宋_GB2312"/>
        </w:rPr>
        <w:t xml:space="preserve"> 满足多项优惠政策的企业，不重复享受多项价格扣除政策，本项价格扣除比例最高为10%。</w:t>
      </w:r>
    </w:p>
    <w:p w14:paraId="65C4EDB1">
      <w:pPr>
        <w:pStyle w:val="11"/>
        <w:ind w:firstLine="480"/>
        <w:jc w:val="both"/>
      </w:pPr>
      <w:r>
        <w:rPr>
          <w:rFonts w:ascii="仿宋_GB2312" w:hAnsi="仿宋_GB2312" w:eastAsia="仿宋_GB2312" w:cs="仿宋_GB2312"/>
        </w:rPr>
        <w:t xml:space="preserve"> （2）落实《财政部发展改革委生态环境部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政策。</w:t>
      </w:r>
    </w:p>
    <w:p w14:paraId="07EC43CB">
      <w:pPr>
        <w:pStyle w:val="11"/>
        <w:ind w:firstLine="480"/>
        <w:jc w:val="both"/>
        <w:rPr>
          <w:rFonts w:ascii="仿宋_GB2312" w:hAnsi="仿宋_GB2312" w:eastAsia="仿宋_GB2312" w:cs="仿宋_GB2312"/>
          <w:b/>
          <w:bCs/>
          <w:color w:val="FF0000"/>
        </w:rPr>
      </w:pPr>
      <w:r>
        <w:rPr>
          <w:rFonts w:ascii="仿宋_GB2312" w:hAnsi="仿宋_GB2312" w:eastAsia="仿宋_GB2312" w:cs="仿宋_GB2312"/>
        </w:rPr>
        <w:t>供应商响应激光打印机产品被列入环境标志产品政府采购品目清单的，提供依据《市场监管总局关于发布参与实施政府采购节能产品、环境标志产品认证机构名录的公告》（2019年第16号）确定的认证机构出具的、处于有效期内的环境标志产品认证证书扫描件的，对</w:t>
      </w:r>
      <w:r>
        <w:rPr>
          <w:rFonts w:hint="eastAsia" w:ascii="仿宋_GB2312" w:hAnsi="仿宋_GB2312" w:eastAsia="仿宋_GB2312" w:cs="仿宋_GB2312"/>
          <w:lang w:eastAsia="zh-CN"/>
        </w:rPr>
        <w:t>投标（响应）</w:t>
      </w:r>
      <w:r>
        <w:rPr>
          <w:rFonts w:ascii="仿宋_GB2312" w:hAnsi="仿宋_GB2312" w:eastAsia="仿宋_GB2312" w:cs="仿宋_GB2312"/>
        </w:rPr>
        <w:t>价格给予5%的扣除，用扣除后的价格参与评审。</w:t>
      </w:r>
    </w:p>
    <w:p w14:paraId="4C5ABF5B">
      <w:pPr>
        <w:pStyle w:val="11"/>
        <w:ind w:firstLine="480"/>
        <w:jc w:val="left"/>
      </w:pPr>
      <w:r>
        <w:rPr>
          <w:rFonts w:ascii="仿宋_GB2312" w:hAnsi="仿宋_GB2312" w:eastAsia="仿宋_GB2312" w:cs="仿宋_GB2312"/>
        </w:rPr>
        <w:t xml:space="preserve"> （3）供应商承诺所进行的商品包装和快递包装满足财政部《商品包装政府采购需求标准（试行）》《快递包装政府采购需求标准（试行）》（财办库〔2020〕123号）的要求，采用环保材料进行包装，供应商提供符合相关要求的承诺函（格式自定，</w:t>
      </w:r>
      <w:r>
        <w:rPr>
          <w:rFonts w:hint="eastAsia" w:ascii="仿宋_GB2312" w:hAnsi="仿宋_GB2312" w:eastAsia="仿宋_GB2312" w:cs="仿宋_GB2312"/>
          <w:lang w:eastAsia="zh-CN"/>
        </w:rPr>
        <w:t>投标（响应）</w:t>
      </w:r>
      <w:r>
        <w:rPr>
          <w:rFonts w:ascii="仿宋_GB2312" w:hAnsi="仿宋_GB2312" w:eastAsia="仿宋_GB2312" w:cs="仿宋_GB2312"/>
        </w:rPr>
        <w:t>时无需提供检测报告、认证报告）的，对</w:t>
      </w:r>
      <w:r>
        <w:rPr>
          <w:rFonts w:hint="eastAsia" w:ascii="仿宋_GB2312" w:hAnsi="仿宋_GB2312" w:eastAsia="仿宋_GB2312" w:cs="仿宋_GB2312"/>
          <w:lang w:eastAsia="zh-CN"/>
        </w:rPr>
        <w:t>投标（响应）</w:t>
      </w:r>
      <w:r>
        <w:rPr>
          <w:rFonts w:ascii="仿宋_GB2312" w:hAnsi="仿宋_GB2312" w:eastAsia="仿宋_GB2312" w:cs="仿宋_GB2312"/>
        </w:rPr>
        <w:t>价格给予1%的扣除。</w:t>
      </w:r>
    </w:p>
    <w:p w14:paraId="4044B9FC">
      <w:pPr>
        <w:pStyle w:val="11"/>
        <w:ind w:firstLine="480"/>
        <w:jc w:val="left"/>
      </w:pPr>
      <w:r>
        <w:rPr>
          <w:rFonts w:ascii="仿宋_GB2312" w:hAnsi="仿宋_GB2312" w:eastAsia="仿宋_GB2312" w:cs="仿宋_GB2312"/>
        </w:rPr>
        <w:t xml:space="preserve"> 注：供应商入围后，征集人有权要求入围供应商在本项目第二阶段执行过程中出具快递包装的检测报告。</w:t>
      </w:r>
    </w:p>
    <w:p w14:paraId="4E8D72DB">
      <w:pPr>
        <w:pStyle w:val="11"/>
        <w:numPr>
          <w:ilvl w:val="0"/>
          <w:numId w:val="2"/>
        </w:numPr>
        <w:ind w:firstLine="480"/>
        <w:jc w:val="left"/>
        <w:rPr>
          <w:rFonts w:hint="eastAsia" w:ascii="仿宋_GB2312" w:hAnsi="仿宋_GB2312" w:eastAsia="仿宋_GB2312" w:cs="仿宋_GB2312"/>
          <w:b/>
          <w:bCs/>
          <w:lang w:val="en-US" w:eastAsia="zh-CN"/>
        </w:rPr>
      </w:pPr>
      <w:r>
        <w:rPr>
          <w:rFonts w:hint="eastAsia" w:ascii="仿宋_GB2312" w:hAnsi="仿宋_GB2312" w:eastAsia="仿宋_GB2312" w:cs="仿宋_GB2312"/>
          <w:b/>
          <w:bCs/>
          <w:lang w:val="en-US" w:eastAsia="zh-CN"/>
        </w:rPr>
        <w:t>关于享受对本国产品的政府采购支持政策</w:t>
      </w:r>
      <w:r>
        <w:rPr>
          <w:rFonts w:hint="eastAsia" w:ascii="仿宋_GB2312" w:hAnsi="仿宋_GB2312" w:eastAsia="仿宋_GB2312" w:cs="仿宋_GB2312"/>
          <w:b/>
          <w:bCs/>
        </w:rPr>
        <w:t>的主体</w:t>
      </w:r>
      <w:r>
        <w:rPr>
          <w:rFonts w:hint="eastAsia" w:ascii="仿宋_GB2312" w:hAnsi="仿宋_GB2312" w:eastAsia="仿宋_GB2312" w:cs="仿宋_GB2312"/>
          <w:b/>
          <w:bCs/>
          <w:lang w:eastAsia="zh-CN"/>
        </w:rPr>
        <w:t>、</w:t>
      </w:r>
      <w:r>
        <w:rPr>
          <w:rFonts w:hint="eastAsia" w:ascii="仿宋_GB2312" w:hAnsi="仿宋_GB2312" w:eastAsia="仿宋_GB2312" w:cs="仿宋_GB2312"/>
          <w:b/>
          <w:bCs/>
        </w:rPr>
        <w:t>价格扣除比例</w:t>
      </w:r>
      <w:r>
        <w:rPr>
          <w:rFonts w:hint="eastAsia" w:ascii="仿宋_GB2312" w:hAnsi="仿宋_GB2312" w:eastAsia="仿宋_GB2312" w:cs="仿宋_GB2312"/>
          <w:b/>
          <w:bCs/>
          <w:lang w:val="en-US" w:eastAsia="zh-CN"/>
        </w:rPr>
        <w:t>等事项的说明</w:t>
      </w:r>
    </w:p>
    <w:p w14:paraId="052A2904">
      <w:pPr>
        <w:ind w:firstLine="400" w:firstLineChars="200"/>
        <w:rPr>
          <w:rFonts w:hint="eastAsia" w:ascii="仿宋_GB2312" w:hAnsi="仿宋_GB2312" w:eastAsia="仿宋_GB2312" w:cs="仿宋_GB2312"/>
          <w:snapToGrid/>
          <w:color w:val="auto"/>
          <w:kern w:val="0"/>
          <w:sz w:val="20"/>
          <w:szCs w:val="20"/>
          <w:lang w:val="en-US" w:eastAsia="zh-Hans" w:bidi="ar-SA"/>
        </w:rPr>
      </w:pPr>
      <w:r>
        <w:rPr>
          <w:rFonts w:hint="eastAsia" w:ascii="仿宋_GB2312" w:hAnsi="仿宋_GB2312" w:eastAsia="仿宋_GB2312" w:cs="仿宋_GB2312"/>
          <w:snapToGrid/>
          <w:color w:val="auto"/>
          <w:kern w:val="0"/>
          <w:sz w:val="20"/>
          <w:szCs w:val="20"/>
          <w:lang w:val="en-US" w:eastAsia="zh-Hans" w:bidi="ar-SA"/>
        </w:rPr>
        <w:t>适用主体：国有企业、民营企业、外资企业等各类经营主体平等享受对本国产品的政府采购支持政策。</w:t>
      </w:r>
    </w:p>
    <w:p w14:paraId="3A2B219A">
      <w:pPr>
        <w:pStyle w:val="10"/>
        <w:ind w:firstLine="400" w:firstLineChars="200"/>
        <w:rPr>
          <w:rFonts w:hint="eastAsia" w:ascii="仿宋_GB2312" w:hAnsi="仿宋_GB2312" w:eastAsia="仿宋_GB2312" w:cs="仿宋_GB2312"/>
          <w:color w:val="auto"/>
          <w:kern w:val="0"/>
          <w:sz w:val="20"/>
          <w:szCs w:val="20"/>
          <w:lang w:val="en-US" w:eastAsia="zh-Hans" w:bidi="ar-SA"/>
        </w:rPr>
      </w:pPr>
      <w:r>
        <w:rPr>
          <w:rFonts w:hint="eastAsia" w:ascii="仿宋_GB2312" w:hAnsi="仿宋_GB2312" w:eastAsia="仿宋_GB2312" w:cs="仿宋_GB2312"/>
          <w:color w:val="auto"/>
          <w:kern w:val="0"/>
          <w:sz w:val="20"/>
          <w:szCs w:val="20"/>
          <w:lang w:val="en-US" w:eastAsia="zh-Hans" w:bidi="ar-SA"/>
        </w:rPr>
        <w:t>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07CE3BF0">
      <w:pPr>
        <w:pStyle w:val="10"/>
        <w:ind w:firstLine="400" w:firstLineChars="200"/>
        <w:rPr>
          <w:rFonts w:hint="eastAsia" w:ascii="仿宋_GB2312" w:hAnsi="仿宋_GB2312" w:eastAsia="仿宋_GB2312" w:cs="仿宋_GB2312"/>
          <w:color w:val="auto"/>
          <w:kern w:val="0"/>
          <w:sz w:val="20"/>
          <w:szCs w:val="20"/>
          <w:lang w:val="en-US" w:eastAsia="zh-Hans" w:bidi="ar-SA"/>
        </w:rPr>
      </w:pPr>
      <w:r>
        <w:rPr>
          <w:rFonts w:hint="eastAsia" w:ascii="仿宋_GB2312" w:hAnsi="仿宋_GB2312" w:eastAsia="仿宋_GB2312" w:cs="仿宋_GB2312"/>
          <w:color w:val="auto"/>
          <w:kern w:val="0"/>
          <w:sz w:val="20"/>
          <w:szCs w:val="20"/>
          <w:lang w:val="en-US" w:eastAsia="zh-Hans" w:bidi="ar-SA"/>
        </w:rPr>
        <w:t>价格扣除：政府采购活动中既有本国产品又有非本国产品参与竞争的，依法对本国产品给予价格评审优惠，</w:t>
      </w:r>
      <w:r>
        <w:rPr>
          <w:rFonts w:hint="eastAsia" w:ascii="仿宋_GB2312" w:hAnsi="仿宋_GB2312" w:eastAsia="仿宋_GB2312" w:cs="仿宋_GB2312"/>
          <w:b w:val="0"/>
          <w:bCs w:val="0"/>
          <w:color w:val="auto"/>
          <w:kern w:val="0"/>
          <w:sz w:val="20"/>
          <w:szCs w:val="20"/>
          <w:lang w:val="en-US" w:eastAsia="zh-Hans" w:bidi="ar-SA"/>
        </w:rPr>
        <w:t>对本国产品的报价给予20%的价格扣除，</w:t>
      </w:r>
      <w:r>
        <w:rPr>
          <w:rFonts w:hint="eastAsia" w:ascii="仿宋_GB2312" w:hAnsi="仿宋_GB2312" w:eastAsia="仿宋_GB2312" w:cs="仿宋_GB2312"/>
          <w:color w:val="auto"/>
          <w:kern w:val="0"/>
          <w:sz w:val="20"/>
          <w:szCs w:val="20"/>
          <w:lang w:val="en-US" w:eastAsia="zh-Hans" w:bidi="ar-SA"/>
        </w:rPr>
        <w:t>用扣除后的价格参与评审。</w:t>
      </w:r>
    </w:p>
    <w:p w14:paraId="0D3261C2">
      <w:pPr>
        <w:pStyle w:val="10"/>
        <w:ind w:firstLine="400" w:firstLineChars="200"/>
        <w:rPr>
          <w:rFonts w:hint="eastAsia" w:ascii="仿宋_GB2312" w:hAnsi="仿宋_GB2312" w:eastAsia="仿宋_GB2312" w:cs="仿宋_GB2312"/>
          <w:color w:val="auto"/>
          <w:kern w:val="0"/>
          <w:sz w:val="20"/>
          <w:szCs w:val="20"/>
          <w:lang w:eastAsia="zh-Hans"/>
        </w:rPr>
      </w:pPr>
      <w:r>
        <w:rPr>
          <w:rFonts w:hint="eastAsia" w:ascii="仿宋_GB2312" w:hAnsi="仿宋_GB2312" w:eastAsia="仿宋_GB2312" w:cs="仿宋_GB2312"/>
          <w:color w:val="auto"/>
          <w:kern w:val="0"/>
          <w:sz w:val="20"/>
          <w:szCs w:val="20"/>
          <w:lang w:val="en-US" w:eastAsia="zh-Hans" w:bidi="ar-SA"/>
        </w:rPr>
        <w:t>供应商</w:t>
      </w:r>
      <w:r>
        <w:rPr>
          <w:rFonts w:hint="eastAsia" w:ascii="仿宋_GB2312" w:hAnsi="仿宋_GB2312" w:eastAsia="仿宋_GB2312" w:cs="仿宋_GB2312"/>
          <w:i w:val="0"/>
          <w:iCs w:val="0"/>
          <w:caps w:val="0"/>
          <w:color w:val="auto"/>
          <w:spacing w:val="0"/>
          <w:kern w:val="0"/>
          <w:sz w:val="20"/>
          <w:szCs w:val="20"/>
          <w:shd w:val="clear"/>
          <w:lang w:eastAsia="zh-Hans"/>
        </w:rPr>
        <w:t>出具符合要求的《关于符合本国产品标准的声明函》或财政部会同有关部门规定的有关证明文件，该产品视为本国产品。</w:t>
      </w:r>
    </w:p>
    <w:p w14:paraId="5F3C7950">
      <w:pPr>
        <w:pStyle w:val="11"/>
        <w:ind w:firstLine="480"/>
        <w:jc w:val="left"/>
      </w:pPr>
      <w:r>
        <w:rPr>
          <w:rFonts w:ascii="仿宋_GB2312" w:hAnsi="仿宋_GB2312" w:eastAsia="仿宋_GB2312" w:cs="仿宋_GB2312"/>
        </w:rPr>
        <w:t>（</w:t>
      </w:r>
      <w:r>
        <w:rPr>
          <w:rFonts w:hint="eastAsia" w:ascii="仿宋_GB2312" w:hAnsi="仿宋_GB2312" w:eastAsia="仿宋_GB2312" w:cs="仿宋_GB2312"/>
          <w:lang w:val="en-US" w:eastAsia="zh-CN"/>
        </w:rPr>
        <w:t>5</w:t>
      </w:r>
      <w:r>
        <w:rPr>
          <w:rFonts w:ascii="仿宋_GB2312" w:hAnsi="仿宋_GB2312" w:eastAsia="仿宋_GB2312" w:cs="仿宋_GB2312"/>
        </w:rPr>
        <w:t>）以上扣除后的价格仅用于评审，最终成交价格仍以供应商</w:t>
      </w:r>
      <w:r>
        <w:rPr>
          <w:rFonts w:hint="eastAsia" w:ascii="仿宋_GB2312" w:hAnsi="仿宋_GB2312" w:eastAsia="仿宋_GB2312" w:cs="仿宋_GB2312"/>
          <w:lang w:eastAsia="zh-CN"/>
        </w:rPr>
        <w:t>投标（响应）</w:t>
      </w:r>
      <w:r>
        <w:rPr>
          <w:rFonts w:ascii="仿宋_GB2312" w:hAnsi="仿宋_GB2312" w:eastAsia="仿宋_GB2312" w:cs="仿宋_GB2312"/>
        </w:rPr>
        <w:t>价格为准。</w:t>
      </w:r>
    </w:p>
    <w:p w14:paraId="557C7FF1">
      <w:pPr>
        <w:pStyle w:val="11"/>
        <w:jc w:val="left"/>
        <w:outlineLvl w:val="2"/>
      </w:pPr>
      <w:r>
        <w:rPr>
          <w:rFonts w:ascii="仿宋_GB2312" w:hAnsi="仿宋_GB2312" w:eastAsia="仿宋_GB2312" w:cs="仿宋_GB2312"/>
          <w:b/>
          <w:sz w:val="28"/>
        </w:rPr>
        <w:t>三、评审标准</w:t>
      </w:r>
    </w:p>
    <w:p w14:paraId="06A50C05">
      <w:pPr>
        <w:pStyle w:val="11"/>
        <w:ind w:firstLine="480"/>
        <w:jc w:val="both"/>
      </w:pPr>
      <w:r>
        <w:rPr>
          <w:rFonts w:ascii="仿宋_GB2312" w:hAnsi="仿宋_GB2312" w:eastAsia="仿宋_GB2312" w:cs="仿宋_GB2312"/>
        </w:rPr>
        <w:t xml:space="preserve"> 评审委员会对符合要求的投标（响应）产品按照评审价格从低到高排序。如果出现供应商评审价格相同的情况，则按照供应商投标（响应）报价从低到高排序，如果投标（响应）报价也相同的，则按照供应商上传投标（响应）文件时间从先到后排序。</w:t>
      </w:r>
    </w:p>
    <w:p w14:paraId="4807B4C5">
      <w:pPr>
        <w:pStyle w:val="11"/>
        <w:ind w:firstLine="480"/>
        <w:jc w:val="left"/>
      </w:pPr>
      <w:r>
        <w:rPr>
          <w:rFonts w:ascii="仿宋_GB2312" w:hAnsi="仿宋_GB2312" w:eastAsia="仿宋_GB2312" w:cs="仿宋_GB2312"/>
        </w:rPr>
        <w:t xml:space="preserve"> 入围供应商的淘汰比例为20%，淘汰家数按照向上取整，如有小数点按照向上取整进行取整。例如，当符合资格条件、实质性要求的投标（响应）供应商数量为11家，入围供应商淘汰比例为20%，淘汰数量计算结果为2.2家时，向上取整后淘汰3家。提交投标（响应）文件和符合资格条件、实质性要求的供应商应当均不少于2家，且至少淘汰一家供应商。</w:t>
      </w:r>
    </w:p>
    <w:p w14:paraId="2728C59B">
      <w:pPr>
        <w:pStyle w:val="11"/>
        <w:ind w:firstLine="480"/>
        <w:jc w:val="both"/>
      </w:pPr>
      <w:r>
        <w:rPr>
          <w:rFonts w:ascii="仿宋_GB2312" w:hAnsi="仿宋_GB2312" w:eastAsia="仿宋_GB2312" w:cs="仿宋_GB2312"/>
        </w:rPr>
        <w:t xml:space="preserve"> 提交投标（响应）文件和符合资格条件、实质性要求的供应商应当均不少于 2 家，且至少淘汰一家供应商。若本项目其中一个包组中不满足此条件，则该包组废标，不影响其他包组评审。</w:t>
      </w:r>
    </w:p>
    <w:p w14:paraId="717B3C89">
      <w:pPr>
        <w:pStyle w:val="11"/>
        <w:jc w:val="left"/>
        <w:outlineLvl w:val="2"/>
      </w:pPr>
      <w:r>
        <w:rPr>
          <w:rFonts w:ascii="仿宋_GB2312" w:hAnsi="仿宋_GB2312" w:eastAsia="仿宋_GB2312" w:cs="仿宋_GB2312"/>
          <w:b/>
          <w:sz w:val="28"/>
        </w:rPr>
        <w:t>四、投标（响应）文件无效情形</w:t>
      </w:r>
    </w:p>
    <w:p w14:paraId="0F432639">
      <w:pPr>
        <w:pStyle w:val="11"/>
        <w:ind w:firstLine="480"/>
        <w:jc w:val="left"/>
      </w:pPr>
      <w:r>
        <w:rPr>
          <w:rFonts w:ascii="仿宋_GB2312" w:hAnsi="仿宋_GB2312" w:eastAsia="仿宋_GB2312" w:cs="仿宋_GB2312"/>
        </w:rPr>
        <w:t xml:space="preserve"> 1.供应商未按征集公告要求成功上传投标（响应）文件。</w:t>
      </w:r>
    </w:p>
    <w:p w14:paraId="126B971A">
      <w:pPr>
        <w:pStyle w:val="11"/>
        <w:ind w:firstLine="480"/>
        <w:jc w:val="left"/>
      </w:pPr>
      <w:r>
        <w:rPr>
          <w:rFonts w:ascii="仿宋_GB2312" w:hAnsi="仿宋_GB2312" w:eastAsia="仿宋_GB2312" w:cs="仿宋_GB2312"/>
        </w:rPr>
        <w:t xml:space="preserve"> 2.不符合本项目征集文件中规定的其他实质性投标（响应）要求的。</w:t>
      </w:r>
    </w:p>
    <w:p w14:paraId="509A012E">
      <w:pPr>
        <w:pStyle w:val="11"/>
        <w:ind w:firstLine="480"/>
        <w:jc w:val="left"/>
      </w:pPr>
      <w:r>
        <w:rPr>
          <w:rFonts w:ascii="仿宋_GB2312" w:hAnsi="仿宋_GB2312" w:eastAsia="仿宋_GB2312" w:cs="仿宋_GB2312"/>
        </w:rPr>
        <w:t xml:space="preserve"> 3.投标（响应）文件中附有征集人或评审委员会不能接受的条件。</w:t>
      </w:r>
    </w:p>
    <w:p w14:paraId="2CEBABDE">
      <w:pPr>
        <w:pStyle w:val="11"/>
      </w:pPr>
      <w:r>
        <w:rPr>
          <w:rFonts w:ascii="仿宋_GB2312" w:hAnsi="仿宋_GB2312" w:eastAsia="仿宋_GB2312" w:cs="仿宋_GB2312"/>
        </w:rPr>
        <w:br w:type="page"/>
      </w:r>
    </w:p>
    <w:p w14:paraId="404165FC">
      <w:pPr>
        <w:pStyle w:val="11"/>
        <w:ind w:firstLine="480"/>
        <w:jc w:val="center"/>
        <w:outlineLvl w:val="1"/>
      </w:pPr>
      <w:r>
        <w:rPr>
          <w:rFonts w:ascii="仿宋_GB2312" w:hAnsi="仿宋_GB2312" w:eastAsia="仿宋_GB2312" w:cs="仿宋_GB2312"/>
          <w:b/>
          <w:sz w:val="36"/>
        </w:rPr>
        <w:t>第六章 投标（响应）文件格式</w:t>
      </w:r>
    </w:p>
    <w:p w14:paraId="13B64087">
      <w:pPr>
        <w:pStyle w:val="11"/>
        <w:jc w:val="left"/>
        <w:outlineLvl w:val="2"/>
      </w:pPr>
      <w:r>
        <w:rPr>
          <w:rFonts w:hint="eastAsia" w:ascii="仿宋_GB2312" w:hAnsi="仿宋_GB2312" w:eastAsia="仿宋_GB2312" w:cs="仿宋_GB2312"/>
          <w:b/>
          <w:sz w:val="28"/>
          <w:lang w:eastAsia="zh-CN"/>
        </w:rPr>
        <w:t>投标（响应）</w:t>
      </w:r>
      <w:r>
        <w:rPr>
          <w:rFonts w:ascii="仿宋_GB2312" w:hAnsi="仿宋_GB2312" w:eastAsia="仿宋_GB2312" w:cs="仿宋_GB2312"/>
          <w:b/>
          <w:sz w:val="28"/>
        </w:rPr>
        <w:t>文件格式内容</w:t>
      </w:r>
    </w:p>
    <w:p w14:paraId="51771141">
      <w:pPr>
        <w:pStyle w:val="11"/>
        <w:jc w:val="left"/>
      </w:pPr>
      <w:r>
        <w:rPr>
          <w:rFonts w:ascii="仿宋_GB2312" w:hAnsi="仿宋_GB2312" w:eastAsia="仿宋_GB2312" w:cs="仿宋_GB2312"/>
        </w:rPr>
        <w:t>项目级格式文件</w:t>
      </w:r>
    </w:p>
    <w:p w14:paraId="4BA07A85">
      <w:pPr>
        <w:pStyle w:val="11"/>
        <w:ind w:firstLine="960"/>
        <w:jc w:val="left"/>
        <w:rPr>
          <w:rFonts w:ascii="仿宋_GB2312" w:hAnsi="仿宋_GB2312" w:eastAsia="仿宋_GB2312" w:cs="仿宋_GB2312"/>
        </w:rPr>
      </w:pPr>
      <w:r>
        <w:rPr>
          <w:rFonts w:ascii="仿宋_GB2312" w:hAnsi="仿宋_GB2312" w:eastAsia="仿宋_GB2312" w:cs="仿宋_GB2312"/>
        </w:rPr>
        <w:t>详见附件：供应商资格要求-商标注册证</w:t>
      </w:r>
    </w:p>
    <w:p w14:paraId="0F5A369A">
      <w:pPr>
        <w:pStyle w:val="11"/>
        <w:ind w:firstLine="960"/>
        <w:jc w:val="left"/>
        <w:rPr>
          <w:rFonts w:ascii="仿宋_GB2312" w:hAnsi="仿宋_GB2312" w:eastAsia="仿宋_GB2312" w:cs="仿宋_GB2312"/>
        </w:rPr>
      </w:pPr>
      <w:r>
        <w:rPr>
          <w:rFonts w:ascii="仿宋_GB2312" w:hAnsi="仿宋_GB2312" w:eastAsia="仿宋_GB2312" w:cs="仿宋_GB2312"/>
        </w:rPr>
        <w:t>详见附件：供应商资格要求-营业执照</w:t>
      </w:r>
    </w:p>
    <w:p w14:paraId="6FF86768">
      <w:pPr>
        <w:pStyle w:val="11"/>
        <w:ind w:firstLine="960"/>
        <w:jc w:val="left"/>
        <w:rPr>
          <w:rFonts w:ascii="仿宋_GB2312" w:hAnsi="仿宋_GB2312" w:eastAsia="仿宋_GB2312" w:cs="仿宋_GB2312"/>
        </w:rPr>
      </w:pPr>
      <w:r>
        <w:rPr>
          <w:rFonts w:ascii="仿宋_GB2312" w:hAnsi="仿宋_GB2312" w:eastAsia="仿宋_GB2312" w:cs="仿宋_GB2312"/>
        </w:rPr>
        <w:t>详见附件：供应商资格要求-投标（响应）及履约承诺函</w:t>
      </w:r>
    </w:p>
    <w:p w14:paraId="175B36FA">
      <w:pPr>
        <w:pStyle w:val="11"/>
        <w:ind w:firstLine="960"/>
        <w:jc w:val="left"/>
        <w:rPr>
          <w:rFonts w:ascii="仿宋_GB2312" w:hAnsi="仿宋_GB2312" w:eastAsia="仿宋_GB2312" w:cs="仿宋_GB2312"/>
        </w:rPr>
      </w:pPr>
      <w:r>
        <w:rPr>
          <w:rFonts w:ascii="仿宋_GB2312" w:hAnsi="仿宋_GB2312" w:eastAsia="仿宋_GB2312" w:cs="仿宋_GB2312"/>
        </w:rPr>
        <w:t>详见附件：供应商基本情况表</w:t>
      </w:r>
    </w:p>
    <w:p w14:paraId="59130D68">
      <w:pPr>
        <w:pStyle w:val="11"/>
        <w:ind w:firstLine="960"/>
        <w:jc w:val="left"/>
        <w:rPr>
          <w:rFonts w:hint="eastAsia" w:ascii="仿宋_GB2312" w:hAnsi="仿宋_GB2312" w:eastAsia="仿宋_GB2312" w:cs="仿宋_GB2312"/>
          <w:lang w:val="en-US" w:eastAsia="zh-CN"/>
        </w:rPr>
      </w:pPr>
      <w:r>
        <w:rPr>
          <w:rFonts w:ascii="仿宋_GB2312" w:hAnsi="仿宋_GB2312" w:eastAsia="仿宋_GB2312" w:cs="仿宋_GB2312"/>
        </w:rPr>
        <w:t>详见附件：</w:t>
      </w:r>
      <w:r>
        <w:rPr>
          <w:rFonts w:hint="eastAsia" w:ascii="仿宋_GB2312" w:hAnsi="仿宋_GB2312" w:eastAsia="仿宋_GB2312" w:cs="仿宋_GB2312"/>
          <w:lang w:val="en-US" w:eastAsia="zh-CN"/>
        </w:rPr>
        <w:t>响应函</w:t>
      </w:r>
    </w:p>
    <w:p w14:paraId="6E6E7574">
      <w:pPr>
        <w:pStyle w:val="11"/>
        <w:ind w:firstLine="960"/>
        <w:jc w:val="left"/>
        <w:rPr>
          <w:rFonts w:ascii="仿宋_GB2312" w:hAnsi="仿宋_GB2312" w:eastAsia="仿宋_GB2312" w:cs="仿宋_GB2312"/>
        </w:rPr>
      </w:pPr>
      <w:r>
        <w:rPr>
          <w:rFonts w:ascii="仿宋_GB2312" w:hAnsi="仿宋_GB2312" w:eastAsia="仿宋_GB2312" w:cs="仿宋_GB2312"/>
        </w:rPr>
        <w:t>详见附件：供应商认为需要加以说明的其他内容</w:t>
      </w:r>
    </w:p>
    <w:p w14:paraId="2CDED5EF">
      <w:pPr>
        <w:pStyle w:val="11"/>
        <w:ind w:firstLine="960"/>
        <w:jc w:val="left"/>
        <w:rPr>
          <w:rFonts w:ascii="仿宋_GB2312" w:hAnsi="仿宋_GB2312" w:eastAsia="仿宋_GB2312" w:cs="仿宋_GB2312"/>
        </w:rPr>
      </w:pPr>
      <w:r>
        <w:rPr>
          <w:rFonts w:ascii="仿宋_GB2312" w:hAnsi="仿宋_GB2312" w:eastAsia="仿宋_GB2312" w:cs="仿宋_GB2312"/>
        </w:rPr>
        <w:t>详见附件：法定代表人（负责人）证明书</w:t>
      </w:r>
    </w:p>
    <w:p w14:paraId="405AB491">
      <w:pPr>
        <w:pStyle w:val="11"/>
        <w:ind w:firstLine="960"/>
        <w:jc w:val="left"/>
        <w:rPr>
          <w:rFonts w:ascii="仿宋_GB2312" w:hAnsi="仿宋_GB2312" w:eastAsia="仿宋_GB2312" w:cs="仿宋_GB2312"/>
        </w:rPr>
      </w:pPr>
      <w:r>
        <w:rPr>
          <w:rFonts w:ascii="仿宋_GB2312" w:hAnsi="仿宋_GB2312" w:eastAsia="仿宋_GB2312" w:cs="仿宋_GB2312"/>
        </w:rPr>
        <w:t>详见附件：投标（响应）文件签署授权委托书</w:t>
      </w:r>
    </w:p>
    <w:p w14:paraId="5FB27798">
      <w:pPr>
        <w:pStyle w:val="11"/>
        <w:jc w:val="left"/>
        <w:rPr>
          <w:rFonts w:ascii="仿宋_GB2312" w:hAnsi="仿宋_GB2312" w:eastAsia="仿宋_GB2312" w:cs="仿宋_GB2312"/>
        </w:rPr>
      </w:pPr>
    </w:p>
    <w:p w14:paraId="3A736BE3">
      <w:pPr>
        <w:pStyle w:val="11"/>
        <w:jc w:val="left"/>
      </w:pPr>
      <w:r>
        <w:rPr>
          <w:rFonts w:ascii="仿宋_GB2312" w:hAnsi="仿宋_GB2312" w:eastAsia="仿宋_GB2312" w:cs="仿宋_GB2312"/>
        </w:rPr>
        <w:t>采购包级格式文件</w:t>
      </w:r>
    </w:p>
    <w:p w14:paraId="73C1A2CB">
      <w:pPr>
        <w:pStyle w:val="11"/>
        <w:ind w:firstLine="960"/>
        <w:jc w:val="left"/>
        <w:rPr>
          <w:rFonts w:ascii="仿宋_GB2312" w:hAnsi="仿宋_GB2312" w:eastAsia="仿宋_GB2312" w:cs="仿宋_GB2312"/>
        </w:rPr>
      </w:pPr>
      <w:r>
        <w:rPr>
          <w:rFonts w:ascii="仿宋_GB2312" w:hAnsi="仿宋_GB2312" w:eastAsia="仿宋_GB2312" w:cs="仿宋_GB2312"/>
        </w:rPr>
        <w:t>详见附件：产品技术参数</w:t>
      </w:r>
    </w:p>
    <w:p w14:paraId="5DFF0279">
      <w:pPr>
        <w:pStyle w:val="11"/>
        <w:ind w:firstLine="960"/>
        <w:jc w:val="left"/>
        <w:rPr>
          <w:rFonts w:ascii="仿宋_GB2312" w:hAnsi="仿宋_GB2312" w:eastAsia="仿宋_GB2312" w:cs="仿宋_GB2312"/>
        </w:rPr>
      </w:pPr>
      <w:r>
        <w:rPr>
          <w:rFonts w:ascii="仿宋_GB2312" w:hAnsi="仿宋_GB2312" w:eastAsia="仿宋_GB2312" w:cs="仿宋_GB2312"/>
        </w:rPr>
        <w:t>详见附件：报价明细表</w:t>
      </w:r>
    </w:p>
    <w:p w14:paraId="4573ECFB">
      <w:pPr>
        <w:pStyle w:val="11"/>
        <w:ind w:firstLine="960"/>
        <w:jc w:val="left"/>
        <w:rPr>
          <w:rFonts w:ascii="仿宋_GB2312" w:hAnsi="仿宋_GB2312" w:eastAsia="仿宋_GB2312" w:cs="仿宋_GB2312"/>
        </w:rPr>
      </w:pPr>
      <w:r>
        <w:rPr>
          <w:rFonts w:ascii="仿宋_GB2312" w:hAnsi="仿宋_GB2312" w:eastAsia="仿宋_GB2312" w:cs="仿宋_GB2312"/>
        </w:rPr>
        <w:t>详见附件：报价一览表</w:t>
      </w:r>
    </w:p>
    <w:p w14:paraId="6F0ADDA4">
      <w:pPr>
        <w:pStyle w:val="11"/>
        <w:ind w:firstLine="960"/>
        <w:jc w:val="left"/>
        <w:rPr>
          <w:rFonts w:ascii="仿宋_GB2312" w:hAnsi="仿宋_GB2312" w:eastAsia="仿宋_GB2312" w:cs="仿宋_GB2312"/>
        </w:rPr>
      </w:pPr>
      <w:r>
        <w:rPr>
          <w:rFonts w:ascii="仿宋_GB2312" w:hAnsi="仿宋_GB2312" w:eastAsia="仿宋_GB2312" w:cs="仿宋_GB2312"/>
        </w:rPr>
        <w:t>详见附件：</w:t>
      </w:r>
      <w:r>
        <w:rPr>
          <w:rFonts w:hint="eastAsia" w:ascii="仿宋_GB2312" w:hAnsi="仿宋_GB2312" w:eastAsia="仿宋_GB2312" w:cs="仿宋_GB2312"/>
        </w:rPr>
        <w:t>实质性条款响应情况表</w:t>
      </w:r>
    </w:p>
    <w:p w14:paraId="0D2E7D4F">
      <w:pPr>
        <w:pStyle w:val="11"/>
        <w:ind w:firstLine="960"/>
        <w:jc w:val="left"/>
        <w:rPr>
          <w:rFonts w:hint="eastAsia" w:ascii="仿宋_GB2312" w:hAnsi="仿宋_GB2312" w:eastAsia="仿宋_GB2312" w:cs="仿宋_GB2312"/>
          <w:lang w:val="en-US" w:eastAsia="zh-CN"/>
        </w:rPr>
      </w:pPr>
      <w:r>
        <w:rPr>
          <w:rFonts w:ascii="仿宋_GB2312" w:hAnsi="仿宋_GB2312" w:eastAsia="仿宋_GB2312" w:cs="仿宋_GB2312"/>
        </w:rPr>
        <w:t>详见附件：</w:t>
      </w:r>
      <w:r>
        <w:rPr>
          <w:rFonts w:hint="eastAsia" w:ascii="仿宋_GB2312" w:hAnsi="仿宋_GB2312" w:eastAsia="仿宋_GB2312" w:cs="仿宋_GB2312"/>
          <w:lang w:val="en-US" w:eastAsia="zh-CN"/>
        </w:rPr>
        <w:t>商务要求偏离表</w:t>
      </w:r>
    </w:p>
    <w:p w14:paraId="1B9B11C8">
      <w:pPr>
        <w:pStyle w:val="11"/>
        <w:ind w:firstLine="960"/>
        <w:jc w:val="left"/>
        <w:rPr>
          <w:rFonts w:ascii="仿宋_GB2312" w:hAnsi="仿宋_GB2312" w:eastAsia="仿宋_GB2312" w:cs="仿宋_GB2312"/>
        </w:rPr>
      </w:pPr>
      <w:r>
        <w:rPr>
          <w:rFonts w:ascii="仿宋_GB2312" w:hAnsi="仿宋_GB2312" w:eastAsia="仿宋_GB2312" w:cs="仿宋_GB2312"/>
        </w:rPr>
        <w:t>详见附件：产品市场</w:t>
      </w:r>
      <w:r>
        <w:rPr>
          <w:rFonts w:hint="eastAsia" w:ascii="仿宋_GB2312" w:hAnsi="仿宋_GB2312" w:eastAsia="仿宋_GB2312" w:cs="仿宋_GB2312"/>
          <w:lang w:eastAsia="zh-CN"/>
        </w:rPr>
        <w:t>销售</w:t>
      </w:r>
      <w:r>
        <w:rPr>
          <w:rFonts w:ascii="仿宋_GB2312" w:hAnsi="仿宋_GB2312" w:eastAsia="仿宋_GB2312" w:cs="仿宋_GB2312"/>
        </w:rPr>
        <w:t>承诺函</w:t>
      </w:r>
    </w:p>
    <w:p w14:paraId="0FAFE1A7">
      <w:pPr>
        <w:pStyle w:val="11"/>
        <w:ind w:firstLine="960"/>
        <w:jc w:val="left"/>
        <w:rPr>
          <w:rFonts w:hint="default" w:ascii="仿宋_GB2312" w:hAnsi="仿宋_GB2312" w:eastAsia="仿宋_GB2312" w:cs="仿宋_GB2312"/>
          <w:lang w:val="en-US" w:eastAsia="zh-CN"/>
        </w:rPr>
      </w:pPr>
      <w:r>
        <w:rPr>
          <w:rFonts w:ascii="仿宋_GB2312" w:hAnsi="仿宋_GB2312" w:eastAsia="仿宋_GB2312" w:cs="仿宋_GB2312"/>
        </w:rPr>
        <w:t>详见附件：</w:t>
      </w:r>
      <w:r>
        <w:rPr>
          <w:rFonts w:hint="eastAsia" w:ascii="仿宋_GB2312" w:hAnsi="仿宋_GB2312" w:eastAsia="仿宋_GB2312" w:cs="仿宋_GB2312"/>
          <w:lang w:val="en-US" w:eastAsia="zh-CN"/>
        </w:rPr>
        <w:t>3C认证证书</w:t>
      </w:r>
    </w:p>
    <w:p w14:paraId="3FB8AD65">
      <w:pPr>
        <w:pStyle w:val="11"/>
        <w:ind w:firstLine="960"/>
        <w:jc w:val="left"/>
        <w:rPr>
          <w:rFonts w:ascii="仿宋_GB2312" w:hAnsi="仿宋_GB2312" w:eastAsia="仿宋_GB2312" w:cs="仿宋_GB2312"/>
        </w:rPr>
      </w:pPr>
      <w:r>
        <w:rPr>
          <w:rFonts w:ascii="仿宋_GB2312" w:hAnsi="仿宋_GB2312" w:eastAsia="仿宋_GB2312" w:cs="仿宋_GB2312"/>
        </w:rPr>
        <w:t>详见附件：适配符合安全可靠测评要求操作系统</w:t>
      </w:r>
      <w:r>
        <w:rPr>
          <w:rFonts w:hint="eastAsia" w:ascii="仿宋_GB2312" w:hAnsi="仿宋_GB2312" w:eastAsia="仿宋_GB2312" w:cs="仿宋_GB2312"/>
          <w:lang w:val="en-US" w:eastAsia="zh-CN"/>
        </w:rPr>
        <w:t>的</w:t>
      </w:r>
      <w:r>
        <w:rPr>
          <w:rFonts w:ascii="仿宋_GB2312" w:hAnsi="仿宋_GB2312" w:eastAsia="仿宋_GB2312" w:cs="仿宋_GB2312"/>
        </w:rPr>
        <w:t>承诺函</w:t>
      </w:r>
    </w:p>
    <w:p w14:paraId="0E8B8188">
      <w:pPr>
        <w:pStyle w:val="11"/>
        <w:ind w:firstLine="960"/>
        <w:jc w:val="left"/>
        <w:rPr>
          <w:rFonts w:ascii="仿宋_GB2312" w:hAnsi="仿宋_GB2312" w:eastAsia="仿宋_GB2312" w:cs="仿宋_GB2312"/>
        </w:rPr>
      </w:pPr>
      <w:r>
        <w:rPr>
          <w:rFonts w:ascii="仿宋_GB2312" w:hAnsi="仿宋_GB2312" w:eastAsia="仿宋_GB2312" w:cs="仿宋_GB2312"/>
        </w:rPr>
        <w:t>详见附件：节能产品认证证书</w:t>
      </w:r>
    </w:p>
    <w:p w14:paraId="77356D76">
      <w:pPr>
        <w:pStyle w:val="11"/>
        <w:ind w:firstLine="960"/>
        <w:jc w:val="left"/>
        <w:rPr>
          <w:rFonts w:ascii="仿宋_GB2312" w:hAnsi="仿宋_GB2312" w:eastAsia="仿宋_GB2312" w:cs="仿宋_GB2312"/>
        </w:rPr>
      </w:pPr>
      <w:r>
        <w:rPr>
          <w:rFonts w:ascii="仿宋_GB2312" w:hAnsi="仿宋_GB2312" w:eastAsia="仿宋_GB2312" w:cs="仿宋_GB2312"/>
        </w:rPr>
        <w:t>详见附件：中小企业声明函、残疾人福利性单位声明函及监狱企业声明函</w:t>
      </w:r>
    </w:p>
    <w:p w14:paraId="683B88F6">
      <w:pPr>
        <w:pStyle w:val="11"/>
        <w:ind w:firstLine="960"/>
        <w:jc w:val="left"/>
        <w:rPr>
          <w:rFonts w:ascii="仿宋_GB2312" w:hAnsi="仿宋_GB2312" w:eastAsia="仿宋_GB2312" w:cs="仿宋_GB2312"/>
        </w:rPr>
      </w:pPr>
      <w:r>
        <w:rPr>
          <w:rFonts w:ascii="仿宋_GB2312" w:hAnsi="仿宋_GB2312" w:eastAsia="仿宋_GB2312" w:cs="仿宋_GB2312"/>
        </w:rPr>
        <w:t>详见附件：环境标志产品认证证书</w:t>
      </w:r>
    </w:p>
    <w:p w14:paraId="4D54E43B">
      <w:pPr>
        <w:pStyle w:val="11"/>
        <w:ind w:firstLine="960"/>
        <w:jc w:val="left"/>
        <w:rPr>
          <w:rFonts w:ascii="仿宋_GB2312" w:hAnsi="仿宋_GB2312" w:eastAsia="仿宋_GB2312" w:cs="仿宋_GB2312"/>
        </w:rPr>
      </w:pPr>
      <w:r>
        <w:rPr>
          <w:rFonts w:ascii="仿宋_GB2312" w:hAnsi="仿宋_GB2312" w:eastAsia="仿宋_GB2312" w:cs="仿宋_GB2312"/>
        </w:rPr>
        <w:t>详见附件：商品包装承诺函</w:t>
      </w:r>
    </w:p>
    <w:p w14:paraId="29901310">
      <w:pPr>
        <w:pStyle w:val="11"/>
        <w:ind w:firstLine="960"/>
        <w:jc w:val="left"/>
        <w:rPr>
          <w:rFonts w:ascii="仿宋_GB2312" w:hAnsi="仿宋_GB2312" w:eastAsia="仿宋_GB2312" w:cs="仿宋_GB2312"/>
        </w:rPr>
      </w:pPr>
      <w:r>
        <w:rPr>
          <w:rFonts w:ascii="仿宋_GB2312" w:hAnsi="仿宋_GB2312" w:eastAsia="仿宋_GB2312" w:cs="仿宋_GB2312"/>
        </w:rPr>
        <w:t>详见附件：</w:t>
      </w:r>
      <w:r>
        <w:rPr>
          <w:rFonts w:hint="eastAsia" w:ascii="仿宋_GB2312" w:hAnsi="仿宋_GB2312" w:eastAsia="仿宋_GB2312" w:cs="仿宋_GB2312"/>
        </w:rPr>
        <w:t>关于符合本国产品标准的声明函</w:t>
      </w:r>
    </w:p>
    <w:p w14:paraId="18B557A3">
      <w:pPr>
        <w:pStyle w:val="11"/>
        <w:ind w:firstLine="960"/>
        <w:jc w:val="left"/>
      </w:pPr>
    </w:p>
    <w:p w14:paraId="528AD301">
      <w:pPr>
        <w:pStyle w:val="11"/>
        <w:jc w:val="left"/>
        <w:rPr>
          <w:color w:val="FF0000"/>
        </w:rPr>
      </w:pPr>
      <w:r>
        <w:rPr>
          <w:rFonts w:ascii="仿宋_GB2312" w:hAnsi="仿宋_GB2312" w:eastAsia="仿宋_GB2312" w:cs="仿宋_GB2312"/>
          <w:b/>
          <w:color w:val="FF0000"/>
        </w:rPr>
        <w:t>投标（响应）说明：</w:t>
      </w:r>
    </w:p>
    <w:p w14:paraId="2D05FFAA">
      <w:pPr>
        <w:pStyle w:val="11"/>
        <w:ind w:firstLine="480"/>
        <w:jc w:val="left"/>
        <w:rPr>
          <w:rFonts w:ascii="仿宋_GB2312" w:hAnsi="仿宋_GB2312" w:eastAsia="仿宋_GB2312" w:cs="仿宋_GB2312"/>
          <w:b/>
          <w:color w:val="FF0000"/>
        </w:rPr>
      </w:pPr>
      <w:r>
        <w:rPr>
          <w:rFonts w:ascii="仿宋_GB2312" w:hAnsi="仿宋_GB2312" w:eastAsia="仿宋_GB2312" w:cs="仿宋_GB2312"/>
          <w:b/>
          <w:color w:val="FF0000"/>
        </w:rPr>
        <w:t xml:space="preserve"> 1.本项目为网上电子投标项目，</w:t>
      </w:r>
      <w:r>
        <w:rPr>
          <w:rFonts w:hint="eastAsia" w:ascii="仿宋_GB2312" w:hAnsi="仿宋_GB2312" w:eastAsia="仿宋_GB2312" w:cs="仿宋_GB2312"/>
          <w:b/>
          <w:color w:val="FF0000"/>
          <w:lang w:eastAsia="zh-CN"/>
        </w:rPr>
        <w:t>投标（响应）</w:t>
      </w:r>
      <w:r>
        <w:rPr>
          <w:rFonts w:ascii="仿宋_GB2312" w:hAnsi="仿宋_GB2312" w:eastAsia="仿宋_GB2312" w:cs="仿宋_GB2312"/>
          <w:b/>
          <w:color w:val="FF0000"/>
        </w:rPr>
        <w:t>文件不需法人或授权委托人另行签字，无需加盖单位公章，征集文件中标注盖章</w:t>
      </w:r>
      <w:r>
        <w:rPr>
          <w:rFonts w:hint="eastAsia" w:ascii="仿宋_GB2312" w:hAnsi="仿宋_GB2312" w:eastAsia="仿宋_GB2312" w:cs="仿宋_GB2312"/>
          <w:b/>
          <w:color w:val="FF0000"/>
          <w:lang w:val="en-US" w:eastAsia="zh-CN"/>
        </w:rPr>
        <w:t>签字</w:t>
      </w:r>
      <w:r>
        <w:rPr>
          <w:rFonts w:ascii="仿宋_GB2312" w:hAnsi="仿宋_GB2312" w:eastAsia="仿宋_GB2312" w:cs="仿宋_GB2312"/>
          <w:b/>
          <w:color w:val="FF0000"/>
        </w:rPr>
        <w:t>的除外。</w:t>
      </w:r>
    </w:p>
    <w:p w14:paraId="3EF90704">
      <w:pPr>
        <w:pStyle w:val="11"/>
        <w:ind w:firstLine="480"/>
        <w:jc w:val="left"/>
        <w:rPr>
          <w:rFonts w:ascii="仿宋_GB2312" w:hAnsi="仿宋_GB2312" w:eastAsia="仿宋_GB2312" w:cs="仿宋_GB2312"/>
          <w:b/>
          <w:color w:val="FF0000"/>
        </w:rPr>
      </w:pPr>
      <w:r>
        <w:rPr>
          <w:rFonts w:ascii="仿宋_GB2312" w:hAnsi="仿宋_GB2312" w:eastAsia="仿宋_GB2312" w:cs="仿宋_GB2312"/>
          <w:b/>
          <w:color w:val="FF0000"/>
        </w:rPr>
        <w:t xml:space="preserve"> 2.</w:t>
      </w:r>
      <w:r>
        <w:rPr>
          <w:rFonts w:hint="eastAsia" w:ascii="仿宋_GB2312" w:hAnsi="仿宋_GB2312" w:eastAsia="仿宋_GB2312" w:cs="仿宋_GB2312"/>
          <w:b/>
          <w:color w:val="FF0000"/>
          <w:lang w:val="en-US" w:eastAsia="zh-CN"/>
        </w:rPr>
        <w:t>供应商</w:t>
      </w:r>
      <w:r>
        <w:rPr>
          <w:rFonts w:ascii="仿宋_GB2312" w:hAnsi="仿宋_GB2312" w:eastAsia="仿宋_GB2312" w:cs="仿宋_GB2312"/>
          <w:b/>
          <w:color w:val="FF0000"/>
        </w:rPr>
        <w:t>在编辑投标（响应）文件时，请按照</w:t>
      </w:r>
      <w:r>
        <w:rPr>
          <w:rFonts w:hint="eastAsia" w:ascii="仿宋_GB2312" w:hAnsi="仿宋_GB2312" w:eastAsia="仿宋_GB2312" w:cs="仿宋_GB2312"/>
          <w:b/>
          <w:color w:val="FF0000"/>
          <w:lang w:eastAsia="zh-CN"/>
        </w:rPr>
        <w:t>投标（响应）</w:t>
      </w:r>
      <w:r>
        <w:rPr>
          <w:rFonts w:ascii="仿宋_GB2312" w:hAnsi="仿宋_GB2312" w:eastAsia="仿宋_GB2312" w:cs="仿宋_GB2312"/>
          <w:b/>
          <w:color w:val="FF0000"/>
        </w:rPr>
        <w:t>文件格式上传到对应位置，未按格式要求上传到对应位置的将可能导致投标无效，一切后果由供应商自行承担。</w:t>
      </w:r>
    </w:p>
    <w:p w14:paraId="601C36E0">
      <w:pPr>
        <w:pStyle w:val="11"/>
        <w:ind w:firstLine="480"/>
        <w:jc w:val="left"/>
        <w:rPr>
          <w:rFonts w:ascii="仿宋_GB2312" w:hAnsi="仿宋_GB2312" w:eastAsia="仿宋_GB2312" w:cs="仿宋_GB2312"/>
          <w:b/>
          <w:color w:val="FF0000"/>
        </w:rPr>
      </w:pPr>
      <w:r>
        <w:rPr>
          <w:rFonts w:ascii="仿宋_GB2312" w:hAnsi="仿宋_GB2312" w:eastAsia="仿宋_GB2312" w:cs="仿宋_GB2312"/>
          <w:b/>
          <w:color w:val="FF0000"/>
        </w:rPr>
        <w:t xml:space="preserve"> 3.投标（响应）文件格式中的产品技术参数、报价表由系统生成，供应商在投标（响应）客户端选择产品、填写报价保存即可。其中报价明细表中</w:t>
      </w:r>
      <w:r>
        <w:rPr>
          <w:rFonts w:hint="eastAsia" w:ascii="仿宋_GB2312" w:hAnsi="仿宋_GB2312" w:eastAsia="仿宋_GB2312" w:cs="仿宋_GB2312"/>
          <w:b/>
          <w:color w:val="FF0000"/>
          <w:lang w:val="en-US" w:eastAsia="zh-CN"/>
        </w:rPr>
        <w:t>复印机</w:t>
      </w:r>
      <w:r>
        <w:rPr>
          <w:rFonts w:ascii="仿宋_GB2312" w:hAnsi="仿宋_GB2312" w:eastAsia="仿宋_GB2312" w:cs="仿宋_GB2312"/>
          <w:b/>
          <w:color w:val="FF0000"/>
        </w:rPr>
        <w:t>【数量】必须填写“1”，如填写其他内容，将会导致对应采购包报价无效。</w:t>
      </w:r>
    </w:p>
    <w:p w14:paraId="52E8CABB">
      <w:pPr>
        <w:pStyle w:val="11"/>
      </w:pPr>
      <w:r>
        <w:rPr>
          <w:rFonts w:ascii="仿宋_GB2312" w:hAnsi="仿宋_GB2312" w:eastAsia="仿宋_GB2312" w:cs="仿宋_GB2312"/>
        </w:rPr>
        <w:br w:type="page"/>
      </w:r>
    </w:p>
    <w:p w14:paraId="5A3AB52B">
      <w:pPr>
        <w:pStyle w:val="11"/>
        <w:jc w:val="center"/>
        <w:outlineLvl w:val="1"/>
      </w:pPr>
      <w:r>
        <w:rPr>
          <w:rFonts w:ascii="仿宋_GB2312" w:hAnsi="仿宋_GB2312" w:eastAsia="仿宋_GB2312" w:cs="仿宋_GB2312"/>
          <w:b/>
          <w:sz w:val="36"/>
        </w:rPr>
        <w:t>第七章 框架协议文本</w:t>
      </w:r>
    </w:p>
    <w:p w14:paraId="59076588">
      <w:pPr>
        <w:pStyle w:val="11"/>
        <w:spacing w:line="540" w:lineRule="exact"/>
        <w:ind w:firstLine="480"/>
        <w:jc w:val="center"/>
      </w:pPr>
      <w:r>
        <w:rPr>
          <w:rFonts w:ascii="仿宋_GB2312" w:hAnsi="仿宋_GB2312" w:eastAsia="仿宋_GB2312" w:cs="仿宋_GB2312"/>
          <w:b/>
          <w:sz w:val="24"/>
        </w:rPr>
        <w:t>深圳政府采购框架协议文本（货物）</w:t>
      </w:r>
    </w:p>
    <w:p w14:paraId="5329A923">
      <w:pPr>
        <w:pStyle w:val="11"/>
        <w:spacing w:line="540" w:lineRule="exact"/>
        <w:ind w:firstLine="480"/>
        <w:jc w:val="left"/>
      </w:pPr>
      <w:r>
        <w:rPr>
          <w:rFonts w:ascii="仿宋_GB2312" w:hAnsi="仿宋_GB2312" w:eastAsia="仿宋_GB2312" w:cs="仿宋_GB2312"/>
          <w:sz w:val="21"/>
        </w:rPr>
        <w:t>甲方（征集人）：深圳公共资源交易中心</w:t>
      </w:r>
    </w:p>
    <w:p w14:paraId="5A0383B3">
      <w:pPr>
        <w:pStyle w:val="11"/>
        <w:spacing w:line="540" w:lineRule="exact"/>
        <w:ind w:firstLine="480"/>
        <w:jc w:val="left"/>
      </w:pPr>
      <w:r>
        <w:rPr>
          <w:rFonts w:ascii="仿宋_GB2312" w:hAnsi="仿宋_GB2312" w:eastAsia="仿宋_GB2312" w:cs="仿宋_GB2312"/>
          <w:sz w:val="21"/>
        </w:rPr>
        <w:t>乙方（入围供应商）：</w:t>
      </w:r>
    </w:p>
    <w:p w14:paraId="6AD036CE">
      <w:pPr>
        <w:pStyle w:val="11"/>
        <w:spacing w:line="540" w:lineRule="exact"/>
        <w:ind w:firstLine="420"/>
        <w:jc w:val="left"/>
      </w:pPr>
      <w:r>
        <w:rPr>
          <w:rFonts w:ascii="仿宋_GB2312" w:hAnsi="仿宋_GB2312" w:eastAsia="仿宋_GB2312" w:cs="仿宋_GB2312"/>
          <w:sz w:val="21"/>
        </w:rPr>
        <w:t>甲乙双方根据深圳公共资源交易中心组织的</w:t>
      </w:r>
      <w:r>
        <w:rPr>
          <w:rFonts w:ascii="仿宋_GB2312" w:hAnsi="仿宋_GB2312" w:eastAsia="仿宋_GB2312" w:cs="仿宋_GB2312"/>
          <w:sz w:val="21"/>
          <w:u w:val="single"/>
        </w:rPr>
        <w:t>（项目名称）</w:t>
      </w:r>
      <w:r>
        <w:rPr>
          <w:rFonts w:hint="eastAsia" w:ascii="仿宋_GB2312" w:hAnsi="仿宋_GB2312" w:eastAsia="仿宋_GB2312" w:cs="仿宋_GB2312"/>
          <w:sz w:val="21"/>
          <w:u w:val="none"/>
          <w:lang w:val="en-US" w:eastAsia="zh-CN"/>
        </w:rPr>
        <w:t>的</w:t>
      </w:r>
      <w:r>
        <w:rPr>
          <w:rFonts w:ascii="仿宋_GB2312" w:hAnsi="仿宋_GB2312" w:eastAsia="仿宋_GB2312" w:cs="仿宋_GB2312"/>
          <w:sz w:val="21"/>
        </w:rPr>
        <w:t>结果，达成以下协议，并签署本文本：</w:t>
      </w:r>
    </w:p>
    <w:p w14:paraId="5BBCEAA0">
      <w:pPr>
        <w:pStyle w:val="11"/>
        <w:spacing w:line="540" w:lineRule="exact"/>
        <w:ind w:firstLine="480"/>
        <w:jc w:val="left"/>
      </w:pPr>
      <w:r>
        <w:rPr>
          <w:rFonts w:ascii="仿宋_GB2312" w:hAnsi="仿宋_GB2312" w:eastAsia="仿宋_GB2312" w:cs="仿宋_GB2312"/>
          <w:sz w:val="24"/>
        </w:rPr>
        <w:t>一、项目基本情况</w:t>
      </w:r>
    </w:p>
    <w:p w14:paraId="40374713">
      <w:pPr>
        <w:pStyle w:val="11"/>
        <w:spacing w:after="120" w:line="540" w:lineRule="exact"/>
        <w:ind w:firstLine="420"/>
        <w:jc w:val="left"/>
      </w:pPr>
      <w:r>
        <w:rPr>
          <w:rFonts w:ascii="仿宋_GB2312" w:hAnsi="仿宋_GB2312" w:eastAsia="仿宋_GB2312" w:cs="仿宋_GB2312"/>
          <w:sz w:val="21"/>
        </w:rPr>
        <w:t>项目编号：</w:t>
      </w:r>
    </w:p>
    <w:p w14:paraId="6A3DFB1D">
      <w:pPr>
        <w:pStyle w:val="11"/>
        <w:spacing w:after="120" w:line="540" w:lineRule="exact"/>
        <w:ind w:firstLine="420"/>
        <w:jc w:val="left"/>
      </w:pPr>
      <w:r>
        <w:rPr>
          <w:rFonts w:ascii="仿宋_GB2312" w:hAnsi="仿宋_GB2312" w:eastAsia="仿宋_GB2312" w:cs="仿宋_GB2312"/>
          <w:sz w:val="21"/>
        </w:rPr>
        <w:t>项目名称：</w:t>
      </w:r>
    </w:p>
    <w:p w14:paraId="7001A833">
      <w:pPr>
        <w:pStyle w:val="11"/>
        <w:spacing w:after="120" w:line="540" w:lineRule="exact"/>
        <w:ind w:firstLine="420"/>
        <w:jc w:val="left"/>
      </w:pPr>
      <w:r>
        <w:rPr>
          <w:rFonts w:ascii="仿宋_GB2312" w:hAnsi="仿宋_GB2312" w:eastAsia="仿宋_GB2312" w:cs="仿宋_GB2312"/>
          <w:sz w:val="21"/>
        </w:rPr>
        <w:t>采购需求及最高限制单价：</w:t>
      </w:r>
      <w:r>
        <w:rPr>
          <w:rFonts w:ascii="仿宋_GB2312" w:hAnsi="仿宋_GB2312" w:eastAsia="仿宋_GB2312" w:cs="仿宋_GB2312"/>
          <w:sz w:val="21"/>
          <w:u w:val="single"/>
        </w:rPr>
        <w:t>见</w:t>
      </w:r>
      <w:r>
        <w:rPr>
          <w:rFonts w:hint="eastAsia" w:ascii="仿宋_GB2312" w:hAnsi="仿宋_GB2312" w:eastAsia="仿宋_GB2312" w:cs="仿宋_GB2312"/>
          <w:sz w:val="21"/>
          <w:u w:val="single"/>
        </w:rPr>
        <w:t>深圳政府采购业务框架协议采购系统征</w:t>
      </w:r>
      <w:r>
        <w:rPr>
          <w:rFonts w:ascii="仿宋_GB2312" w:hAnsi="仿宋_GB2312" w:eastAsia="仿宋_GB2312" w:cs="仿宋_GB2312"/>
          <w:sz w:val="21"/>
          <w:u w:val="single"/>
        </w:rPr>
        <w:t>集文件</w:t>
      </w:r>
    </w:p>
    <w:p w14:paraId="213ED4F1">
      <w:pPr>
        <w:pStyle w:val="11"/>
        <w:spacing w:after="120" w:line="540" w:lineRule="exact"/>
        <w:ind w:firstLine="420"/>
        <w:jc w:val="left"/>
      </w:pPr>
      <w:r>
        <w:rPr>
          <w:rFonts w:ascii="仿宋_GB2312" w:hAnsi="仿宋_GB2312" w:eastAsia="仿宋_GB2312" w:cs="仿宋_GB2312"/>
          <w:sz w:val="21"/>
        </w:rPr>
        <w:t>适用本次框架协议的采购人或服务对象范围：深圳市市区两级预算单位</w:t>
      </w:r>
    </w:p>
    <w:p w14:paraId="11330A93">
      <w:pPr>
        <w:pStyle w:val="11"/>
        <w:spacing w:after="120" w:line="540" w:lineRule="exact"/>
        <w:ind w:firstLine="420"/>
        <w:jc w:val="left"/>
        <w:rPr>
          <w:rFonts w:hint="eastAsia" w:ascii="仿宋_GB2312" w:hAnsi="仿宋_GB2312" w:eastAsia="仿宋_GB2312" w:cs="仿宋_GB2312"/>
          <w:sz w:val="21"/>
          <w:lang w:eastAsia="zh-CN"/>
        </w:rPr>
      </w:pPr>
      <w:r>
        <w:rPr>
          <w:rFonts w:ascii="仿宋_GB2312" w:hAnsi="仿宋_GB2312" w:eastAsia="仿宋_GB2312" w:cs="仿宋_GB2312"/>
          <w:sz w:val="21"/>
        </w:rPr>
        <w:t>履行合同的地域范围：深圳市</w:t>
      </w:r>
      <w:r>
        <w:rPr>
          <w:rFonts w:hint="eastAsia" w:ascii="仿宋_GB2312" w:hAnsi="仿宋_GB2312" w:eastAsia="仿宋_GB2312" w:cs="仿宋_GB2312"/>
          <w:sz w:val="21"/>
          <w:lang w:eastAsia="zh-CN"/>
        </w:rPr>
        <w:t>，</w:t>
      </w:r>
      <w:r>
        <w:rPr>
          <w:rFonts w:hint="eastAsia" w:ascii="仿宋_GB2312" w:hAnsi="仿宋_GB2312" w:eastAsia="仿宋_GB2312" w:cs="仿宋_GB2312"/>
          <w:sz w:val="21"/>
          <w:lang w:val="en-US" w:eastAsia="zh-CN"/>
        </w:rPr>
        <w:t>包含</w:t>
      </w:r>
      <w:r>
        <w:rPr>
          <w:rFonts w:ascii="仿宋_GB2312" w:hAnsi="仿宋_GB2312" w:eastAsia="仿宋_GB2312" w:cs="仿宋_GB2312"/>
          <w:sz w:val="21"/>
        </w:rPr>
        <w:t>市本级、罗湖区、福田区、南山区、宝安区、龙岗区、盐田区、龙华区、坪山区、光明区、大鹏新区、深汕特别行政区。</w:t>
      </w:r>
    </w:p>
    <w:p w14:paraId="0CA6F368">
      <w:pPr>
        <w:pStyle w:val="11"/>
        <w:spacing w:line="540" w:lineRule="exact"/>
        <w:ind w:firstLine="480"/>
        <w:jc w:val="left"/>
      </w:pPr>
      <w:r>
        <w:rPr>
          <w:rFonts w:ascii="仿宋_GB2312" w:hAnsi="仿宋_GB2312" w:eastAsia="仿宋_GB2312" w:cs="仿宋_GB2312"/>
          <w:sz w:val="24"/>
        </w:rPr>
        <w:t>二、第一阶段入围供应商信息</w:t>
      </w:r>
    </w:p>
    <w:p w14:paraId="5D1B99AB">
      <w:pPr>
        <w:pStyle w:val="11"/>
        <w:spacing w:after="120" w:line="540" w:lineRule="exact"/>
        <w:ind w:firstLine="420"/>
        <w:jc w:val="left"/>
      </w:pPr>
      <w:r>
        <w:rPr>
          <w:rFonts w:ascii="仿宋_GB2312" w:hAnsi="仿宋_GB2312" w:eastAsia="仿宋_GB2312" w:cs="仿宋_GB2312"/>
          <w:sz w:val="21"/>
        </w:rPr>
        <w:t>入围产品详细技术规格：</w:t>
      </w:r>
      <w:r>
        <w:rPr>
          <w:rFonts w:hint="eastAsia" w:ascii="仿宋_GB2312" w:hAnsi="仿宋_GB2312" w:eastAsia="仿宋_GB2312" w:cs="仿宋_GB2312"/>
          <w:sz w:val="21"/>
          <w:u w:val="single"/>
          <w:lang w:eastAsia="zh-CN"/>
        </w:rPr>
        <w:t>见深圳政府采购业务框架协议采购系统投标（响应）文件</w:t>
      </w:r>
    </w:p>
    <w:p w14:paraId="1A39891A">
      <w:pPr>
        <w:pStyle w:val="11"/>
        <w:spacing w:after="120" w:line="540" w:lineRule="exact"/>
        <w:ind w:firstLine="420"/>
        <w:jc w:val="left"/>
      </w:pPr>
      <w:r>
        <w:rPr>
          <w:rFonts w:ascii="仿宋_GB2312" w:hAnsi="仿宋_GB2312" w:eastAsia="仿宋_GB2312" w:cs="仿宋_GB2312"/>
          <w:sz w:val="21"/>
        </w:rPr>
        <w:t>服务内容、服务标准：</w:t>
      </w:r>
      <w:r>
        <w:rPr>
          <w:rFonts w:hint="eastAsia" w:ascii="仿宋_GB2312" w:hAnsi="仿宋_GB2312" w:eastAsia="仿宋_GB2312" w:cs="仿宋_GB2312"/>
          <w:sz w:val="21"/>
          <w:u w:val="single"/>
          <w:lang w:eastAsia="zh-CN"/>
        </w:rPr>
        <w:t>见深圳政府采购业务框架协议采购系统投标（响应）文件</w:t>
      </w:r>
    </w:p>
    <w:p w14:paraId="3701F64D">
      <w:pPr>
        <w:pStyle w:val="11"/>
        <w:spacing w:after="120" w:line="540" w:lineRule="exact"/>
        <w:ind w:firstLine="420"/>
        <w:jc w:val="left"/>
      </w:pPr>
      <w:r>
        <w:rPr>
          <w:rFonts w:ascii="仿宋_GB2312" w:hAnsi="仿宋_GB2312" w:eastAsia="仿宋_GB2312" w:cs="仿宋_GB2312"/>
          <w:sz w:val="21"/>
        </w:rPr>
        <w:t>协议价格：</w:t>
      </w:r>
      <w:r>
        <w:rPr>
          <w:rFonts w:hint="eastAsia" w:ascii="仿宋_GB2312" w:hAnsi="仿宋_GB2312" w:eastAsia="仿宋_GB2312" w:cs="仿宋_GB2312"/>
          <w:sz w:val="21"/>
          <w:u w:val="single"/>
          <w:lang w:eastAsia="zh-CN"/>
        </w:rPr>
        <w:t>见深圳政府采购业务框架协议采购系统投标（响应）文件</w:t>
      </w:r>
    </w:p>
    <w:p w14:paraId="76932DAA">
      <w:pPr>
        <w:pStyle w:val="11"/>
        <w:spacing w:line="540" w:lineRule="exact"/>
        <w:ind w:firstLine="480"/>
        <w:jc w:val="left"/>
      </w:pPr>
      <w:r>
        <w:rPr>
          <w:rFonts w:ascii="仿宋_GB2312" w:hAnsi="仿宋_GB2312" w:eastAsia="仿宋_GB2312" w:cs="仿宋_GB2312"/>
          <w:sz w:val="24"/>
        </w:rPr>
        <w:t>三、入围产品升级换代规则</w:t>
      </w:r>
    </w:p>
    <w:p w14:paraId="07CAF52D">
      <w:pPr>
        <w:pStyle w:val="11"/>
        <w:spacing w:after="120" w:line="540" w:lineRule="exact"/>
        <w:ind w:firstLine="420"/>
        <w:jc w:val="left"/>
      </w:pPr>
      <w:r>
        <w:rPr>
          <w:rFonts w:ascii="仿宋_GB2312" w:hAnsi="仿宋_GB2312" w:eastAsia="仿宋_GB2312" w:cs="仿宋_GB2312"/>
          <w:sz w:val="21"/>
        </w:rPr>
        <w:t>因产品升级换代，在质量不降低、价格不提高的前提下，入围供应商可用新产品替代原入围产品，由征集人对该情形进行审核；</w:t>
      </w:r>
    </w:p>
    <w:p w14:paraId="57E06F2F">
      <w:pPr>
        <w:pStyle w:val="11"/>
        <w:spacing w:after="120" w:line="540" w:lineRule="exact"/>
        <w:ind w:firstLine="420"/>
        <w:jc w:val="left"/>
      </w:pPr>
      <w:r>
        <w:rPr>
          <w:rFonts w:ascii="仿宋_GB2312" w:hAnsi="仿宋_GB2312" w:eastAsia="仿宋_GB2312" w:cs="仿宋_GB2312"/>
          <w:sz w:val="21"/>
        </w:rPr>
        <w:t>若产品市场价格下降，入围供应商理应下调产品价格。</w:t>
      </w:r>
    </w:p>
    <w:p w14:paraId="4B3FCB1B">
      <w:pPr>
        <w:pStyle w:val="11"/>
        <w:spacing w:line="540" w:lineRule="exact"/>
        <w:ind w:firstLine="480"/>
        <w:jc w:val="left"/>
      </w:pPr>
      <w:r>
        <w:rPr>
          <w:rFonts w:ascii="仿宋_GB2312" w:hAnsi="仿宋_GB2312" w:eastAsia="仿宋_GB2312" w:cs="仿宋_GB2312"/>
          <w:sz w:val="24"/>
        </w:rPr>
        <w:t>四、确定第二阶段成交供应商方式</w:t>
      </w:r>
    </w:p>
    <w:p w14:paraId="00776422">
      <w:pPr>
        <w:pStyle w:val="11"/>
        <w:spacing w:after="120" w:line="540" w:lineRule="exact"/>
        <w:ind w:firstLine="420"/>
        <w:jc w:val="left"/>
      </w:pPr>
      <w:r>
        <w:rPr>
          <w:rFonts w:ascii="仿宋_GB2312" w:hAnsi="仿宋_GB2312" w:eastAsia="仿宋_GB2312" w:cs="仿宋_GB2312"/>
          <w:sz w:val="21"/>
        </w:rPr>
        <w:t>采购人或者服务对象购买</w:t>
      </w:r>
      <w:r>
        <w:rPr>
          <w:rFonts w:hint="eastAsia" w:ascii="仿宋_GB2312" w:hAnsi="仿宋_GB2312" w:eastAsia="仿宋_GB2312" w:cs="仿宋_GB2312"/>
          <w:sz w:val="21"/>
          <w:u w:val="single"/>
          <w:lang w:val="en-US" w:eastAsia="zh-CN"/>
        </w:rPr>
        <w:t xml:space="preserve">     </w:t>
      </w:r>
      <w:r>
        <w:rPr>
          <w:rFonts w:ascii="仿宋_GB2312" w:hAnsi="仿宋_GB2312" w:eastAsia="仿宋_GB2312" w:cs="仿宋_GB2312"/>
          <w:sz w:val="21"/>
        </w:rPr>
        <w:t>时，应当将第二阶段的采购合同授予第一阶段入围供应商</w:t>
      </w:r>
      <w:r>
        <w:rPr>
          <w:rFonts w:hint="eastAsia" w:ascii="仿宋_GB2312" w:hAnsi="仿宋_GB2312" w:eastAsia="仿宋_GB2312" w:cs="仿宋_GB2312"/>
          <w:sz w:val="21"/>
          <w:lang w:val="en-US" w:eastAsia="zh-CN"/>
        </w:rPr>
        <w:t>及其委托的代理</w:t>
      </w:r>
      <w:r>
        <w:rPr>
          <w:rFonts w:ascii="仿宋_GB2312" w:hAnsi="仿宋_GB2312" w:eastAsia="仿宋_GB2312" w:cs="仿宋_GB2312"/>
          <w:sz w:val="21"/>
        </w:rPr>
        <w:t>。</w:t>
      </w:r>
    </w:p>
    <w:p w14:paraId="0243C4BC">
      <w:pPr>
        <w:pStyle w:val="11"/>
        <w:spacing w:after="120" w:line="540" w:lineRule="exact"/>
        <w:ind w:firstLine="420"/>
        <w:jc w:val="left"/>
      </w:pPr>
      <w:r>
        <w:rPr>
          <w:rFonts w:ascii="仿宋_GB2312" w:hAnsi="仿宋_GB2312" w:eastAsia="仿宋_GB2312" w:cs="仿宋_GB2312"/>
          <w:sz w:val="21"/>
        </w:rPr>
        <w:t>确定第二阶段成交供应商的方式为直接选定。由采购人或者服务对象依据入围产品价格、质量以及服务便利性、用户评价等因素，从第一阶段入围供应商中直接选定。</w:t>
      </w:r>
    </w:p>
    <w:p w14:paraId="57279B99">
      <w:pPr>
        <w:pStyle w:val="11"/>
        <w:spacing w:after="120" w:line="540" w:lineRule="exact"/>
        <w:ind w:firstLine="420"/>
        <w:jc w:val="left"/>
      </w:pPr>
      <w:r>
        <w:rPr>
          <w:rFonts w:ascii="仿宋_GB2312" w:hAnsi="仿宋_GB2312" w:eastAsia="仿宋_GB2312" w:cs="仿宋_GB2312"/>
          <w:sz w:val="21"/>
        </w:rPr>
        <w:t>采购人在确定成交供应商后，双方应当按照框架协议中规定的“采购合同文本”格式签订电子采购合同，不得擅自改变框架协议约定的合同实质性条款。</w:t>
      </w:r>
    </w:p>
    <w:p w14:paraId="4A8C0700">
      <w:pPr>
        <w:pStyle w:val="11"/>
        <w:spacing w:after="120" w:line="540" w:lineRule="exact"/>
        <w:ind w:firstLine="420"/>
        <w:jc w:val="left"/>
      </w:pPr>
      <w:r>
        <w:rPr>
          <w:rFonts w:ascii="仿宋_GB2312" w:hAnsi="仿宋_GB2312" w:eastAsia="仿宋_GB2312" w:cs="仿宋_GB2312"/>
          <w:sz w:val="21"/>
        </w:rPr>
        <w:t>采购人证明能够以更低价格向非入围供应商采购相同货物，且入围供应商不同意将价格降至非入围供应商以下的，可以将合同授予非入围供应商。</w:t>
      </w:r>
    </w:p>
    <w:p w14:paraId="0C71112F">
      <w:pPr>
        <w:pStyle w:val="11"/>
        <w:spacing w:line="540" w:lineRule="exact"/>
        <w:ind w:firstLine="420"/>
        <w:jc w:val="left"/>
      </w:pPr>
      <w:r>
        <w:rPr>
          <w:rFonts w:ascii="仿宋_GB2312" w:hAnsi="仿宋_GB2312" w:eastAsia="仿宋_GB2312" w:cs="仿宋_GB2312"/>
          <w:sz w:val="21"/>
        </w:rPr>
        <w:t>采购人将合同授予非入围供应商的，应当在确定成交供应商后1个工作日内，将成交结果抄送征集人，由征集人按照单笔公告要求发布成交结果公告。采购人应当将相关证明材料和采购合同一并存档备查。</w:t>
      </w:r>
    </w:p>
    <w:p w14:paraId="68720E7E">
      <w:pPr>
        <w:pStyle w:val="11"/>
        <w:spacing w:line="540" w:lineRule="exact"/>
        <w:ind w:firstLine="480"/>
        <w:jc w:val="left"/>
      </w:pPr>
      <w:r>
        <w:rPr>
          <w:rFonts w:ascii="仿宋_GB2312" w:hAnsi="仿宋_GB2312" w:eastAsia="仿宋_GB2312" w:cs="仿宋_GB2312"/>
          <w:sz w:val="24"/>
        </w:rPr>
        <w:t>五、采购资金的支付方式、时间和条件</w:t>
      </w:r>
    </w:p>
    <w:p w14:paraId="1373176F">
      <w:pPr>
        <w:spacing w:after="120" w:line="540" w:lineRule="exact"/>
        <w:ind w:firstLine="420"/>
        <w:contextualSpacing/>
        <w:rPr>
          <w:rFonts w:hint="eastAsia" w:ascii="仿宋_GB2312" w:hAnsi="仿宋_GB2312" w:eastAsia="仿宋_GB2312" w:cs="仿宋_GB2312"/>
          <w:snapToGrid/>
          <w:color w:val="auto"/>
          <w:kern w:val="0"/>
          <w:sz w:val="21"/>
          <w:szCs w:val="20"/>
          <w:lang w:val="en-US" w:eastAsia="zh-Hans"/>
        </w:rPr>
      </w:pPr>
      <w:r>
        <w:rPr>
          <w:rFonts w:hint="eastAsia" w:ascii="仿宋_GB2312" w:hAnsi="仿宋_GB2312" w:eastAsia="仿宋_GB2312" w:cs="仿宋_GB2312"/>
          <w:snapToGrid/>
          <w:color w:val="auto"/>
          <w:kern w:val="0"/>
          <w:sz w:val="21"/>
          <w:szCs w:val="20"/>
          <w:lang w:val="en-US" w:eastAsia="zh-Hans"/>
        </w:rPr>
        <w:t>采购人采取“刷公务采购卡”“转账”等方式付款，在满足合同约定支付条件情况下，采购人应当及时支付货款。</w:t>
      </w:r>
    </w:p>
    <w:p w14:paraId="1DD3593D">
      <w:pPr>
        <w:pStyle w:val="11"/>
        <w:spacing w:line="540" w:lineRule="exact"/>
        <w:ind w:firstLine="480"/>
        <w:jc w:val="left"/>
      </w:pPr>
      <w:r>
        <w:rPr>
          <w:rFonts w:ascii="仿宋_GB2312" w:hAnsi="仿宋_GB2312" w:eastAsia="仿宋_GB2312" w:cs="仿宋_GB2312"/>
          <w:sz w:val="24"/>
        </w:rPr>
        <w:t>六、采购合同</w:t>
      </w:r>
    </w:p>
    <w:p w14:paraId="016AF237">
      <w:pPr>
        <w:pStyle w:val="11"/>
        <w:spacing w:after="120" w:line="540" w:lineRule="exact"/>
        <w:ind w:firstLine="420"/>
        <w:jc w:val="left"/>
      </w:pPr>
      <w:r>
        <w:rPr>
          <w:rFonts w:ascii="仿宋_GB2312" w:hAnsi="仿宋_GB2312" w:eastAsia="仿宋_GB2312" w:cs="仿宋_GB2312"/>
          <w:sz w:val="21"/>
        </w:rPr>
        <w:t>见本协议附件2。</w:t>
      </w:r>
    </w:p>
    <w:p w14:paraId="455ADADA">
      <w:pPr>
        <w:pStyle w:val="11"/>
        <w:spacing w:line="540" w:lineRule="exact"/>
        <w:ind w:firstLine="480"/>
        <w:jc w:val="left"/>
      </w:pPr>
      <w:r>
        <w:rPr>
          <w:rFonts w:ascii="仿宋_GB2312" w:hAnsi="仿宋_GB2312" w:eastAsia="仿宋_GB2312" w:cs="仿宋_GB2312"/>
          <w:sz w:val="24"/>
        </w:rPr>
        <w:t>七、框架协议期限</w:t>
      </w:r>
    </w:p>
    <w:p w14:paraId="1CC79800">
      <w:pPr>
        <w:pStyle w:val="11"/>
        <w:spacing w:after="120" w:line="540" w:lineRule="exact"/>
        <w:ind w:firstLine="420"/>
        <w:jc w:val="left"/>
        <w:rPr>
          <w:rFonts w:hint="eastAsia" w:ascii="仿宋_GB2312" w:hAnsi="仿宋_GB2312" w:eastAsia="仿宋_GB2312" w:cs="仿宋_GB2312"/>
          <w:snapToGrid/>
          <w:color w:val="auto"/>
          <w:kern w:val="0"/>
          <w:sz w:val="21"/>
          <w:szCs w:val="20"/>
          <w:lang w:val="en-US" w:eastAsia="zh-Hans" w:bidi="ar-SA"/>
        </w:rPr>
      </w:pPr>
      <w:r>
        <w:rPr>
          <w:rFonts w:hint="eastAsia" w:ascii="仿宋_GB2312" w:hAnsi="仿宋_GB2312" w:eastAsia="仿宋_GB2312" w:cs="仿宋_GB2312"/>
          <w:snapToGrid/>
          <w:color w:val="auto"/>
          <w:kern w:val="0"/>
          <w:sz w:val="21"/>
          <w:szCs w:val="20"/>
          <w:lang w:val="en-US" w:eastAsia="zh-Hans" w:bidi="ar-SA"/>
        </w:rPr>
        <w:t>本项目期限为自深圳政府采购业务框架协议采购系统</w:t>
      </w:r>
      <w:r>
        <w:rPr>
          <w:rFonts w:hint="eastAsia" w:ascii="仿宋_GB2312" w:hAnsi="仿宋_GB2312" w:eastAsia="仿宋_GB2312" w:cs="仿宋_GB2312"/>
          <w:snapToGrid/>
          <w:color w:val="auto"/>
          <w:kern w:val="0"/>
          <w:sz w:val="21"/>
          <w:szCs w:val="20"/>
          <w:lang w:val="en-US" w:eastAsia="zh-CN" w:bidi="ar-SA"/>
        </w:rPr>
        <w:t>发布的相关通知</w:t>
      </w:r>
      <w:r>
        <w:rPr>
          <w:rFonts w:hint="eastAsia" w:ascii="仿宋_GB2312" w:hAnsi="仿宋_GB2312" w:eastAsia="仿宋_GB2312" w:cs="仿宋_GB2312"/>
          <w:snapToGrid/>
          <w:color w:val="auto"/>
          <w:kern w:val="0"/>
          <w:sz w:val="21"/>
          <w:szCs w:val="20"/>
          <w:lang w:val="en-US" w:eastAsia="zh-Hans" w:bidi="ar-SA"/>
        </w:rPr>
        <w:t>之日起1年，如遇政策调整，以新政策为准。</w:t>
      </w:r>
    </w:p>
    <w:p w14:paraId="1E6939F7">
      <w:pPr>
        <w:pStyle w:val="11"/>
        <w:spacing w:line="540" w:lineRule="exact"/>
        <w:ind w:firstLine="480"/>
        <w:jc w:val="left"/>
      </w:pPr>
      <w:r>
        <w:rPr>
          <w:rFonts w:ascii="仿宋_GB2312" w:hAnsi="仿宋_GB2312" w:eastAsia="仿宋_GB2312" w:cs="仿宋_GB2312"/>
          <w:sz w:val="24"/>
        </w:rPr>
        <w:t>八、入围供应商的清退和补充规则</w:t>
      </w:r>
    </w:p>
    <w:p w14:paraId="261429C2">
      <w:pPr>
        <w:pStyle w:val="11"/>
        <w:spacing w:after="120" w:line="540" w:lineRule="exact"/>
        <w:ind w:firstLine="480"/>
        <w:jc w:val="left"/>
      </w:pPr>
      <w:r>
        <w:rPr>
          <w:rFonts w:ascii="仿宋_GB2312" w:hAnsi="仿宋_GB2312" w:eastAsia="仿宋_GB2312" w:cs="仿宋_GB2312"/>
          <w:sz w:val="24"/>
        </w:rPr>
        <w:t>（一）清退规则</w:t>
      </w:r>
    </w:p>
    <w:p w14:paraId="34004DE0">
      <w:pPr>
        <w:pStyle w:val="11"/>
        <w:spacing w:after="120" w:line="540" w:lineRule="exact"/>
        <w:ind w:firstLine="420"/>
        <w:jc w:val="left"/>
      </w:pPr>
      <w:r>
        <w:rPr>
          <w:rFonts w:ascii="仿宋_GB2312" w:hAnsi="仿宋_GB2312" w:eastAsia="仿宋_GB2312" w:cs="仿宋_GB2312"/>
          <w:sz w:val="21"/>
        </w:rPr>
        <w:t>入围供应商有下列情形之一，尚未签订框架协议的，取消其入围资格；已经签订框架协议的，解除与其签订的框架协议：</w:t>
      </w:r>
    </w:p>
    <w:p w14:paraId="6E134BE5">
      <w:pPr>
        <w:pStyle w:val="11"/>
        <w:spacing w:after="120" w:line="540" w:lineRule="exact"/>
        <w:ind w:firstLine="420"/>
        <w:jc w:val="left"/>
      </w:pPr>
      <w:r>
        <w:rPr>
          <w:rFonts w:ascii="仿宋_GB2312" w:hAnsi="仿宋_GB2312" w:eastAsia="仿宋_GB2312" w:cs="仿宋_GB2312"/>
          <w:sz w:val="21"/>
        </w:rPr>
        <w:t>1.恶意串通谋取入围或者合同成交的；</w:t>
      </w:r>
    </w:p>
    <w:p w14:paraId="354BB057">
      <w:pPr>
        <w:pStyle w:val="11"/>
        <w:spacing w:after="120" w:line="540" w:lineRule="exact"/>
        <w:ind w:firstLine="420"/>
        <w:jc w:val="left"/>
      </w:pPr>
      <w:r>
        <w:rPr>
          <w:rFonts w:ascii="仿宋_GB2312" w:hAnsi="仿宋_GB2312" w:eastAsia="仿宋_GB2312" w:cs="仿宋_GB2312"/>
          <w:sz w:val="21"/>
        </w:rPr>
        <w:t>2.提供虚假材料谋取入围或者合同成交的；</w:t>
      </w:r>
    </w:p>
    <w:p w14:paraId="11BF2BB6">
      <w:pPr>
        <w:pStyle w:val="11"/>
        <w:spacing w:after="120" w:line="540" w:lineRule="exact"/>
        <w:ind w:firstLine="420"/>
        <w:jc w:val="left"/>
      </w:pPr>
      <w:r>
        <w:rPr>
          <w:rFonts w:ascii="仿宋_GB2312" w:hAnsi="仿宋_GB2312" w:eastAsia="仿宋_GB2312" w:cs="仿宋_GB2312"/>
          <w:sz w:val="21"/>
        </w:rPr>
        <w:t>3.无正当理由拒不接受合同授予的；</w:t>
      </w:r>
    </w:p>
    <w:p w14:paraId="3FEEFAE6">
      <w:pPr>
        <w:pStyle w:val="11"/>
        <w:spacing w:after="120" w:line="540" w:lineRule="exact"/>
        <w:ind w:firstLine="420"/>
        <w:jc w:val="left"/>
      </w:pPr>
      <w:r>
        <w:rPr>
          <w:rFonts w:ascii="仿宋_GB2312" w:hAnsi="仿宋_GB2312" w:eastAsia="仿宋_GB2312" w:cs="仿宋_GB2312"/>
          <w:sz w:val="21"/>
        </w:rPr>
        <w:t>4.不履行合同义务或者履行合同义务不符合约定，经采购人请求履行后仍不履行或者仍未按约定履行的；</w:t>
      </w:r>
    </w:p>
    <w:p w14:paraId="02769861">
      <w:pPr>
        <w:pStyle w:val="11"/>
        <w:spacing w:after="120" w:line="540" w:lineRule="exact"/>
        <w:ind w:firstLine="420"/>
        <w:jc w:val="left"/>
      </w:pPr>
      <w:r>
        <w:rPr>
          <w:rFonts w:ascii="仿宋_GB2312" w:hAnsi="仿宋_GB2312" w:eastAsia="仿宋_GB2312" w:cs="仿宋_GB2312"/>
          <w:sz w:val="21"/>
        </w:rPr>
        <w:t>5.框架协议有效期内，因违法行为被禁止或限制参加政府采购活动的；</w:t>
      </w:r>
    </w:p>
    <w:p w14:paraId="2AF9C374">
      <w:pPr>
        <w:pStyle w:val="11"/>
        <w:spacing w:after="120" w:line="540" w:lineRule="exact"/>
        <w:ind w:firstLine="420"/>
        <w:jc w:val="left"/>
      </w:pPr>
      <w:r>
        <w:rPr>
          <w:rFonts w:ascii="仿宋_GB2312" w:hAnsi="仿宋_GB2312" w:eastAsia="仿宋_GB2312" w:cs="仿宋_GB2312"/>
          <w:sz w:val="21"/>
        </w:rPr>
        <w:t>6.本协议约定的其他情形；</w:t>
      </w:r>
    </w:p>
    <w:p w14:paraId="7D45F145">
      <w:pPr>
        <w:pStyle w:val="11"/>
        <w:spacing w:after="120" w:line="540" w:lineRule="exact"/>
        <w:ind w:firstLine="420"/>
        <w:jc w:val="left"/>
      </w:pPr>
      <w:r>
        <w:rPr>
          <w:rFonts w:ascii="仿宋_GB2312" w:hAnsi="仿宋_GB2312" w:eastAsia="仿宋_GB2312" w:cs="仿宋_GB2312"/>
          <w:sz w:val="21"/>
        </w:rPr>
        <w:t>7.法律、法规、规章及政策采购监管政策规定的其他情形。</w:t>
      </w:r>
    </w:p>
    <w:p w14:paraId="25BF6712">
      <w:pPr>
        <w:pStyle w:val="11"/>
        <w:spacing w:after="120" w:line="540" w:lineRule="exact"/>
        <w:ind w:firstLine="420"/>
        <w:jc w:val="left"/>
      </w:pPr>
      <w:r>
        <w:rPr>
          <w:rFonts w:ascii="仿宋_GB2312" w:hAnsi="仿宋_GB2312" w:eastAsia="仿宋_GB2312" w:cs="仿宋_GB2312"/>
          <w:sz w:val="21"/>
        </w:rPr>
        <w:t>被取消入围资格或者被解除框架协议的供应商不得参加同一封闭式框架协议补充征集。</w:t>
      </w:r>
    </w:p>
    <w:p w14:paraId="6ABEF4C6">
      <w:pPr>
        <w:pStyle w:val="11"/>
        <w:spacing w:after="120" w:line="540" w:lineRule="exact"/>
        <w:ind w:firstLine="480"/>
        <w:jc w:val="left"/>
      </w:pPr>
      <w:r>
        <w:rPr>
          <w:rFonts w:ascii="仿宋_GB2312" w:hAnsi="仿宋_GB2312" w:eastAsia="仿宋_GB2312" w:cs="仿宋_GB2312"/>
          <w:sz w:val="24"/>
        </w:rPr>
        <w:t>（二）补充规则</w:t>
      </w:r>
    </w:p>
    <w:p w14:paraId="60D2EFE8">
      <w:pPr>
        <w:pStyle w:val="11"/>
        <w:spacing w:after="120" w:line="540" w:lineRule="exact"/>
        <w:ind w:firstLine="420"/>
        <w:jc w:val="left"/>
      </w:pPr>
      <w:r>
        <w:rPr>
          <w:rFonts w:ascii="仿宋_GB2312" w:hAnsi="仿宋_GB2312" w:eastAsia="仿宋_GB2312" w:cs="仿宋_GB2312"/>
          <w:sz w:val="21"/>
        </w:rPr>
        <w:t>若剩余的入围供应商不足入围供应商总数70%且影响框架协议执行的情形出现，征集人将报主管部门同意后补充征集供应商。</w:t>
      </w:r>
    </w:p>
    <w:p w14:paraId="7AFEE718">
      <w:pPr>
        <w:pStyle w:val="11"/>
        <w:spacing w:after="120" w:line="540" w:lineRule="exact"/>
        <w:ind w:firstLine="420"/>
        <w:jc w:val="left"/>
      </w:pPr>
      <w:r>
        <w:rPr>
          <w:rFonts w:ascii="仿宋_GB2312" w:hAnsi="仿宋_GB2312" w:eastAsia="仿宋_GB2312" w:cs="仿宋_GB2312"/>
          <w:sz w:val="21"/>
        </w:rPr>
        <w:t>补充征集规则在框架协议中约定，补充征集的条件、程序、评审方法和淘汰比例与初次征集相同。补充征集遵守原框架协议的有效期。补充征集期间，原框架协议继续履行。</w:t>
      </w:r>
    </w:p>
    <w:p w14:paraId="7D2F59D2">
      <w:pPr>
        <w:pStyle w:val="11"/>
        <w:spacing w:line="540" w:lineRule="exact"/>
        <w:ind w:firstLine="480"/>
        <w:jc w:val="left"/>
      </w:pPr>
      <w:r>
        <w:rPr>
          <w:rFonts w:ascii="仿宋_GB2312" w:hAnsi="仿宋_GB2312" w:eastAsia="仿宋_GB2312" w:cs="仿宋_GB2312"/>
          <w:sz w:val="24"/>
        </w:rPr>
        <w:t>九、双方的权利和义务</w:t>
      </w:r>
    </w:p>
    <w:p w14:paraId="4DC40FF5">
      <w:pPr>
        <w:pStyle w:val="11"/>
        <w:spacing w:after="120" w:line="540" w:lineRule="exact"/>
        <w:ind w:firstLine="480"/>
        <w:jc w:val="left"/>
      </w:pPr>
      <w:r>
        <w:rPr>
          <w:rFonts w:ascii="仿宋_GB2312" w:hAnsi="仿宋_GB2312" w:eastAsia="仿宋_GB2312" w:cs="仿宋_GB2312"/>
          <w:sz w:val="24"/>
        </w:rPr>
        <w:t>（一）甲方的权利</w:t>
      </w:r>
    </w:p>
    <w:p w14:paraId="7C38448F">
      <w:pPr>
        <w:pStyle w:val="11"/>
        <w:spacing w:after="120" w:line="540" w:lineRule="exact"/>
        <w:ind w:firstLine="420"/>
        <w:jc w:val="left"/>
        <w:rPr>
          <w:rFonts w:ascii="仿宋_GB2312" w:hAnsi="仿宋_GB2312" w:eastAsia="仿宋_GB2312" w:cs="仿宋_GB2312"/>
          <w:sz w:val="21"/>
        </w:rPr>
      </w:pPr>
      <w:r>
        <w:rPr>
          <w:rFonts w:ascii="仿宋_GB2312" w:hAnsi="仿宋_GB2312" w:eastAsia="仿宋_GB2312" w:cs="仿宋_GB2312"/>
          <w:sz w:val="21"/>
        </w:rPr>
        <w:t>1.对乙方履行协议情况，甲方有权在深圳公共资源交易网、深圳政府采购业务框架协议采购系统或其他媒体上公布。</w:t>
      </w:r>
    </w:p>
    <w:p w14:paraId="08569896">
      <w:pPr>
        <w:pStyle w:val="11"/>
        <w:spacing w:after="120" w:line="540" w:lineRule="exact"/>
        <w:ind w:firstLine="420"/>
        <w:jc w:val="left"/>
        <w:rPr>
          <w:rFonts w:ascii="仿宋_GB2312" w:hAnsi="仿宋_GB2312" w:eastAsia="仿宋_GB2312" w:cs="仿宋_GB2312"/>
          <w:sz w:val="21"/>
        </w:rPr>
      </w:pPr>
      <w:r>
        <w:rPr>
          <w:rFonts w:ascii="仿宋_GB2312" w:hAnsi="仿宋_GB2312" w:eastAsia="仿宋_GB2312" w:cs="仿宋_GB2312"/>
          <w:sz w:val="21"/>
        </w:rPr>
        <w:t>2.乙方违反框架协议约定的，甲方有权追究乙方违约责任。</w:t>
      </w:r>
    </w:p>
    <w:p w14:paraId="2FDA42DA">
      <w:pPr>
        <w:pStyle w:val="11"/>
        <w:spacing w:after="120" w:line="540" w:lineRule="exact"/>
        <w:ind w:firstLine="420"/>
        <w:jc w:val="left"/>
      </w:pPr>
      <w:r>
        <w:rPr>
          <w:rFonts w:ascii="仿宋_GB2312" w:hAnsi="仿宋_GB2312" w:eastAsia="仿宋_GB2312" w:cs="仿宋_GB2312"/>
          <w:sz w:val="21"/>
        </w:rPr>
        <w:t>3.如乙方违反框架协议规定行为，有权通知乙方及时纠正，并按框架协议和</w:t>
      </w:r>
      <w:r>
        <w:rPr>
          <w:rFonts w:hint="eastAsia" w:ascii="仿宋_GB2312" w:hAnsi="仿宋_GB2312" w:eastAsia="仿宋_GB2312" w:cs="仿宋_GB2312"/>
          <w:sz w:val="21"/>
          <w:lang w:eastAsia="zh-CN"/>
        </w:rPr>
        <w:t>投标（响应）</w:t>
      </w:r>
      <w:r>
        <w:rPr>
          <w:rFonts w:ascii="仿宋_GB2312" w:hAnsi="仿宋_GB2312" w:eastAsia="仿宋_GB2312" w:cs="仿宋_GB2312"/>
          <w:sz w:val="21"/>
        </w:rPr>
        <w:t>文件、征集文件等的有关规定给予处理。</w:t>
      </w:r>
    </w:p>
    <w:p w14:paraId="5AC73D9D">
      <w:pPr>
        <w:pStyle w:val="11"/>
        <w:spacing w:after="120" w:line="540" w:lineRule="exact"/>
        <w:ind w:firstLine="420"/>
        <w:jc w:val="left"/>
      </w:pPr>
      <w:r>
        <w:rPr>
          <w:rFonts w:ascii="仿宋_GB2312" w:hAnsi="仿宋_GB2312" w:eastAsia="仿宋_GB2312" w:cs="仿宋_GB2312"/>
          <w:sz w:val="21"/>
        </w:rPr>
        <w:t>4.乙方存在本协议第八条第一项的约定情形时，取消入围供应商的入围资格，或解除与其签订的框架协议。</w:t>
      </w:r>
    </w:p>
    <w:p w14:paraId="5B8B1CB8">
      <w:pPr>
        <w:pStyle w:val="11"/>
        <w:spacing w:after="120" w:line="540" w:lineRule="exact"/>
        <w:ind w:firstLine="420"/>
        <w:jc w:val="left"/>
      </w:pPr>
      <w:r>
        <w:rPr>
          <w:rFonts w:ascii="仿宋_GB2312" w:hAnsi="仿宋_GB2312" w:eastAsia="仿宋_GB2312" w:cs="仿宋_GB2312"/>
          <w:sz w:val="21"/>
        </w:rPr>
        <w:t>5.在框架协议期内，随时对乙方及其委托的代理商履约情况进行检查。</w:t>
      </w:r>
    </w:p>
    <w:p w14:paraId="2471C63F">
      <w:pPr>
        <w:pStyle w:val="11"/>
        <w:spacing w:after="120" w:line="540" w:lineRule="exact"/>
        <w:ind w:firstLine="480"/>
        <w:jc w:val="left"/>
      </w:pPr>
      <w:r>
        <w:rPr>
          <w:rFonts w:ascii="仿宋_GB2312" w:hAnsi="仿宋_GB2312" w:eastAsia="仿宋_GB2312" w:cs="仿宋_GB2312"/>
          <w:sz w:val="24"/>
        </w:rPr>
        <w:t>（二）甲方的义务</w:t>
      </w:r>
    </w:p>
    <w:p w14:paraId="60475FA5">
      <w:pPr>
        <w:pStyle w:val="11"/>
        <w:spacing w:after="120" w:line="540" w:lineRule="exact"/>
        <w:ind w:firstLine="420"/>
        <w:jc w:val="left"/>
      </w:pPr>
      <w:r>
        <w:rPr>
          <w:rFonts w:ascii="仿宋_GB2312" w:hAnsi="仿宋_GB2312" w:eastAsia="仿宋_GB2312" w:cs="仿宋_GB2312"/>
          <w:sz w:val="21"/>
        </w:rPr>
        <w:t>1.为第二阶段合同授予提供工作便利。</w:t>
      </w:r>
    </w:p>
    <w:p w14:paraId="7299DAEC">
      <w:pPr>
        <w:pStyle w:val="11"/>
        <w:spacing w:after="120" w:line="540" w:lineRule="exact"/>
        <w:ind w:firstLine="420"/>
        <w:jc w:val="left"/>
      </w:pPr>
      <w:r>
        <w:rPr>
          <w:rFonts w:ascii="仿宋_GB2312" w:hAnsi="仿宋_GB2312" w:eastAsia="仿宋_GB2312" w:cs="仿宋_GB2312"/>
          <w:sz w:val="21"/>
        </w:rPr>
        <w:t>2.对第二阶段最高限价和需求标准执行情况进行管理。</w:t>
      </w:r>
    </w:p>
    <w:p w14:paraId="590A1A42">
      <w:pPr>
        <w:pStyle w:val="11"/>
        <w:spacing w:after="120" w:line="540" w:lineRule="exact"/>
        <w:ind w:firstLine="420"/>
        <w:jc w:val="left"/>
      </w:pPr>
      <w:r>
        <w:rPr>
          <w:rFonts w:ascii="仿宋_GB2312" w:hAnsi="仿宋_GB2312" w:eastAsia="仿宋_GB2312" w:cs="仿宋_GB2312"/>
          <w:sz w:val="21"/>
        </w:rPr>
        <w:t>3.对第二阶段确定成交供应商情况进行管理。</w:t>
      </w:r>
    </w:p>
    <w:p w14:paraId="127F4F22">
      <w:pPr>
        <w:pStyle w:val="11"/>
        <w:spacing w:after="120" w:line="540" w:lineRule="exact"/>
        <w:ind w:firstLine="420"/>
        <w:jc w:val="left"/>
      </w:pPr>
      <w:r>
        <w:rPr>
          <w:rFonts w:ascii="仿宋_GB2312" w:hAnsi="仿宋_GB2312" w:eastAsia="仿宋_GB2312" w:cs="仿宋_GB2312"/>
          <w:sz w:val="21"/>
        </w:rPr>
        <w:t>4.建立用户反馈和评价机制，接受采购人和服务对象对入围供应商履行框架协议和采购合同情况的反馈与评价，并将用户反馈和评价情况向采购人和服务对象公开，作为第二阶段直接选定成交供应商的参考。</w:t>
      </w:r>
    </w:p>
    <w:p w14:paraId="57E22361">
      <w:pPr>
        <w:pStyle w:val="11"/>
        <w:spacing w:after="120" w:line="540" w:lineRule="exact"/>
        <w:ind w:firstLine="420"/>
        <w:jc w:val="left"/>
      </w:pPr>
      <w:r>
        <w:rPr>
          <w:rFonts w:ascii="仿宋_GB2312" w:hAnsi="仿宋_GB2312" w:eastAsia="仿宋_GB2312" w:cs="仿宋_GB2312"/>
          <w:sz w:val="21"/>
        </w:rPr>
        <w:t>5.公开封闭式框架协议的第二阶段成交结果。</w:t>
      </w:r>
    </w:p>
    <w:p w14:paraId="597E4CB6">
      <w:pPr>
        <w:pStyle w:val="11"/>
        <w:spacing w:after="120" w:line="540" w:lineRule="exact"/>
        <w:ind w:firstLine="420"/>
        <w:jc w:val="left"/>
      </w:pPr>
      <w:r>
        <w:rPr>
          <w:rFonts w:ascii="仿宋_GB2312" w:hAnsi="仿宋_GB2312" w:eastAsia="仿宋_GB2312" w:cs="仿宋_GB2312"/>
          <w:sz w:val="21"/>
        </w:rPr>
        <w:t>6.办理入围供应商清退和补充相关事宜。</w:t>
      </w:r>
    </w:p>
    <w:p w14:paraId="762F648A">
      <w:pPr>
        <w:pStyle w:val="11"/>
        <w:spacing w:after="120" w:line="540" w:lineRule="exact"/>
        <w:ind w:firstLine="480"/>
        <w:jc w:val="left"/>
      </w:pPr>
      <w:r>
        <w:rPr>
          <w:rFonts w:ascii="仿宋_GB2312" w:hAnsi="仿宋_GB2312" w:eastAsia="仿宋_GB2312" w:cs="仿宋_GB2312"/>
          <w:sz w:val="24"/>
        </w:rPr>
        <w:t>（三）乙方的权利</w:t>
      </w:r>
    </w:p>
    <w:p w14:paraId="2016823B">
      <w:pPr>
        <w:pStyle w:val="11"/>
        <w:spacing w:after="120" w:line="540" w:lineRule="exact"/>
        <w:ind w:firstLine="420"/>
        <w:jc w:val="left"/>
      </w:pPr>
      <w:r>
        <w:rPr>
          <w:rFonts w:ascii="仿宋_GB2312" w:hAnsi="仿宋_GB2312" w:eastAsia="仿宋_GB2312" w:cs="仿宋_GB2312"/>
          <w:sz w:val="21"/>
        </w:rPr>
        <w:t>1.有权拒绝甲方及采购人提出的除征集文件规定、框架协议和采购合同约定、法律法规规定以及乙方承诺以外的其它要求。</w:t>
      </w:r>
    </w:p>
    <w:p w14:paraId="3B512459">
      <w:pPr>
        <w:pStyle w:val="11"/>
        <w:spacing w:after="120" w:line="540" w:lineRule="exact"/>
        <w:ind w:firstLine="420"/>
        <w:jc w:val="left"/>
      </w:pPr>
      <w:r>
        <w:rPr>
          <w:rFonts w:ascii="仿宋_GB2312" w:hAnsi="仿宋_GB2312" w:eastAsia="仿宋_GB2312" w:cs="仿宋_GB2312"/>
          <w:sz w:val="21"/>
        </w:rPr>
        <w:t>2.有权依法对甲方在日常管理工作中和采购人在采购过程中的不正当要求和违规行为进行投诉。</w:t>
      </w:r>
    </w:p>
    <w:p w14:paraId="2826C75C">
      <w:pPr>
        <w:pStyle w:val="11"/>
        <w:spacing w:after="120" w:line="540" w:lineRule="exact"/>
        <w:ind w:firstLine="420"/>
        <w:jc w:val="left"/>
      </w:pPr>
      <w:r>
        <w:rPr>
          <w:rFonts w:ascii="仿宋_GB2312" w:hAnsi="仿宋_GB2312" w:eastAsia="仿宋_GB2312" w:cs="仿宋_GB2312"/>
          <w:sz w:val="21"/>
        </w:rPr>
        <w:t>3.有权拒绝任何个人以采购人名义按照协议价格购买入围产品和进行现金交易。</w:t>
      </w:r>
    </w:p>
    <w:p w14:paraId="5373A3EB">
      <w:pPr>
        <w:pStyle w:val="11"/>
        <w:spacing w:after="120" w:line="540" w:lineRule="exact"/>
        <w:ind w:firstLine="420"/>
        <w:jc w:val="left"/>
      </w:pPr>
      <w:r>
        <w:rPr>
          <w:rFonts w:ascii="仿宋_GB2312" w:hAnsi="仿宋_GB2312" w:eastAsia="仿宋_GB2312" w:cs="仿宋_GB2312"/>
          <w:sz w:val="21"/>
        </w:rPr>
        <w:t>4.乙方具有为采购人供货和提供相关服务的权利。</w:t>
      </w:r>
    </w:p>
    <w:p w14:paraId="40EE512C">
      <w:pPr>
        <w:pStyle w:val="11"/>
        <w:spacing w:after="120" w:line="540" w:lineRule="exact"/>
        <w:ind w:firstLine="480"/>
        <w:jc w:val="left"/>
      </w:pPr>
      <w:r>
        <w:rPr>
          <w:rFonts w:ascii="仿宋_GB2312" w:hAnsi="仿宋_GB2312" w:eastAsia="仿宋_GB2312" w:cs="仿宋_GB2312"/>
          <w:sz w:val="24"/>
        </w:rPr>
        <w:t>（四）乙方的义务</w:t>
      </w:r>
    </w:p>
    <w:p w14:paraId="0459BFA7">
      <w:pPr>
        <w:pStyle w:val="11"/>
        <w:spacing w:after="120" w:line="540" w:lineRule="exact"/>
        <w:ind w:firstLine="420"/>
        <w:jc w:val="left"/>
      </w:pPr>
      <w:r>
        <w:rPr>
          <w:rFonts w:ascii="仿宋_GB2312" w:hAnsi="仿宋_GB2312" w:eastAsia="仿宋_GB2312" w:cs="仿宋_GB2312"/>
          <w:sz w:val="21"/>
        </w:rPr>
        <w:t>1.严格执行国家法律法规，严格按照</w:t>
      </w:r>
      <w:r>
        <w:rPr>
          <w:rFonts w:hint="eastAsia" w:ascii="仿宋_GB2312" w:hAnsi="仿宋_GB2312" w:eastAsia="仿宋_GB2312" w:cs="仿宋_GB2312"/>
          <w:sz w:val="21"/>
          <w:lang w:eastAsia="zh-CN"/>
        </w:rPr>
        <w:t>投标（响应）</w:t>
      </w:r>
      <w:r>
        <w:rPr>
          <w:rFonts w:ascii="仿宋_GB2312" w:hAnsi="仿宋_GB2312" w:eastAsia="仿宋_GB2312" w:cs="仿宋_GB2312"/>
          <w:sz w:val="21"/>
        </w:rPr>
        <w:t>文件承诺的价格和服务履约，遵守本合同条款。</w:t>
      </w:r>
    </w:p>
    <w:p w14:paraId="51E65F1E">
      <w:pPr>
        <w:pStyle w:val="11"/>
        <w:spacing w:after="120" w:line="540" w:lineRule="exact"/>
        <w:ind w:firstLine="420"/>
        <w:jc w:val="left"/>
      </w:pPr>
      <w:r>
        <w:rPr>
          <w:rFonts w:ascii="仿宋_GB2312" w:hAnsi="仿宋_GB2312" w:eastAsia="仿宋_GB2312" w:cs="仿宋_GB2312"/>
          <w:sz w:val="21"/>
        </w:rPr>
        <w:t>2.乙方如委托代理商代其接受采购人合同授予并履行采购合同，在签订框架协议时需提供代理商委托代理协议和代理商名单，作为框架协议的附件。乙方委托的代理商应当符合《中华人民共和国政府采购法》第二十二条的条件。</w:t>
      </w:r>
    </w:p>
    <w:p w14:paraId="3CA41897">
      <w:pPr>
        <w:pStyle w:val="11"/>
        <w:spacing w:after="120" w:line="540" w:lineRule="exact"/>
        <w:ind w:firstLine="420"/>
        <w:jc w:val="left"/>
      </w:pPr>
      <w:r>
        <w:rPr>
          <w:rFonts w:ascii="仿宋_GB2312" w:hAnsi="仿宋_GB2312" w:eastAsia="仿宋_GB2312" w:cs="仿宋_GB2312"/>
          <w:sz w:val="21"/>
        </w:rPr>
        <w:t>3.随时接受并配合甲方有关落实框架协议的组织工作，并配合财政部门对采购人和其他入围供应商对框架协议执行情况进行监督，发现违规违约情形的，及时向财政部门报告。</w:t>
      </w:r>
    </w:p>
    <w:p w14:paraId="4CE16286">
      <w:pPr>
        <w:pStyle w:val="11"/>
        <w:spacing w:after="120" w:line="540" w:lineRule="exact"/>
        <w:ind w:firstLine="420"/>
        <w:jc w:val="left"/>
      </w:pPr>
      <w:r>
        <w:rPr>
          <w:rFonts w:ascii="仿宋_GB2312" w:hAnsi="仿宋_GB2312" w:eastAsia="仿宋_GB2312" w:cs="仿宋_GB2312"/>
          <w:sz w:val="21"/>
        </w:rPr>
        <w:t>4.在框架协议有效期内，按照不高于协议价格，向采购人销售入围产品（含专用耗材，如果有）并提供相关服务。</w:t>
      </w:r>
    </w:p>
    <w:p w14:paraId="07F5491A">
      <w:pPr>
        <w:pStyle w:val="11"/>
        <w:spacing w:after="120" w:line="540" w:lineRule="exact"/>
        <w:ind w:firstLine="420"/>
        <w:jc w:val="left"/>
      </w:pPr>
      <w:r>
        <w:rPr>
          <w:rFonts w:ascii="仿宋_GB2312" w:hAnsi="仿宋_GB2312" w:eastAsia="仿宋_GB2312" w:cs="仿宋_GB2312"/>
          <w:sz w:val="21"/>
        </w:rPr>
        <w:t>5.乙方与其委托的代理履行合同授予程序后，乙方、厂家及其委托的代理商对本项目承担连带责任，乙方委托的代理商必须履行乙方在</w:t>
      </w:r>
      <w:r>
        <w:rPr>
          <w:rFonts w:hint="eastAsia" w:ascii="仿宋_GB2312" w:hAnsi="仿宋_GB2312" w:eastAsia="仿宋_GB2312" w:cs="仿宋_GB2312"/>
          <w:sz w:val="21"/>
          <w:lang w:eastAsia="zh-CN"/>
        </w:rPr>
        <w:t>投标（响应）</w:t>
      </w:r>
      <w:r>
        <w:rPr>
          <w:rFonts w:ascii="仿宋_GB2312" w:hAnsi="仿宋_GB2312" w:eastAsia="仿宋_GB2312" w:cs="仿宋_GB2312"/>
          <w:sz w:val="21"/>
        </w:rPr>
        <w:t>文件中承诺的责任和义务。乙方及其委托的代理商未经采购人同意，不得将项目内容的全部或者部分转让或者委托给其他第三方完成。</w:t>
      </w:r>
    </w:p>
    <w:p w14:paraId="46B10209">
      <w:pPr>
        <w:pStyle w:val="11"/>
        <w:spacing w:after="120" w:line="540" w:lineRule="exact"/>
        <w:ind w:firstLine="420"/>
        <w:jc w:val="left"/>
      </w:pPr>
      <w:r>
        <w:rPr>
          <w:rFonts w:ascii="仿宋_GB2312" w:hAnsi="仿宋_GB2312" w:eastAsia="仿宋_GB2312" w:cs="仿宋_GB2312"/>
          <w:sz w:val="21"/>
        </w:rPr>
        <w:t>6.框架协议期内，在质量不降低、价格不提高的前提下，乙方如出现因产品升级换代，需用新产品替代原入围产品情形时，必须在向甲方提出申请，不得擅自更换。</w:t>
      </w:r>
    </w:p>
    <w:p w14:paraId="1D09DC3A">
      <w:pPr>
        <w:pStyle w:val="11"/>
        <w:spacing w:after="120" w:line="540" w:lineRule="exact"/>
        <w:ind w:firstLine="420"/>
        <w:jc w:val="left"/>
        <w:rPr>
          <w:rFonts w:ascii="仿宋_GB2312" w:hAnsi="仿宋_GB2312" w:eastAsia="仿宋_GB2312" w:cs="仿宋_GB2312"/>
          <w:sz w:val="21"/>
        </w:rPr>
      </w:pPr>
      <w:r>
        <w:rPr>
          <w:rFonts w:ascii="仿宋_GB2312" w:hAnsi="仿宋_GB2312" w:eastAsia="仿宋_GB2312" w:cs="仿宋_GB2312"/>
          <w:sz w:val="21"/>
        </w:rPr>
        <w:t>7.采购人证明能够以更低价格向非入围供应商采购相同货物，且入围供应商不同意将价格降至非入围供应商以下的，可以将合同授予非入围供应商。</w:t>
      </w:r>
    </w:p>
    <w:p w14:paraId="7D3B4651">
      <w:pPr>
        <w:pStyle w:val="11"/>
        <w:spacing w:after="120" w:line="540" w:lineRule="exact"/>
        <w:ind w:firstLine="420"/>
        <w:jc w:val="left"/>
        <w:rPr>
          <w:rFonts w:ascii="仿宋_GB2312" w:hAnsi="仿宋_GB2312" w:eastAsia="仿宋_GB2312" w:cs="仿宋_GB2312"/>
          <w:sz w:val="21"/>
        </w:rPr>
      </w:pPr>
      <w:r>
        <w:rPr>
          <w:rFonts w:ascii="仿宋_GB2312" w:hAnsi="仿宋_GB2312" w:eastAsia="仿宋_GB2312" w:cs="仿宋_GB2312"/>
          <w:sz w:val="21"/>
        </w:rPr>
        <w:t>8.供应商在协议期内不能按期供货经查证属实的，须按涉单金额的1%向国库上缴违约金，拒不缴纳前述违约金或存在其他严重情节的，甲方将报送财政主管部门，由财政主管部门依据《深圳经济特区政府采购条例实施细则》第八十条的规定依法予以处理。</w:t>
      </w:r>
    </w:p>
    <w:p w14:paraId="56696FB3">
      <w:pPr>
        <w:pStyle w:val="11"/>
        <w:spacing w:line="540" w:lineRule="exact"/>
        <w:ind w:firstLine="480"/>
        <w:jc w:val="left"/>
      </w:pPr>
      <w:r>
        <w:rPr>
          <w:rFonts w:ascii="仿宋_GB2312" w:hAnsi="仿宋_GB2312" w:eastAsia="仿宋_GB2312" w:cs="仿宋_GB2312"/>
          <w:sz w:val="24"/>
        </w:rPr>
        <w:t>十、不可抗力</w:t>
      </w:r>
    </w:p>
    <w:p w14:paraId="48C24F6B">
      <w:pPr>
        <w:pStyle w:val="11"/>
        <w:spacing w:line="540" w:lineRule="exact"/>
        <w:ind w:firstLine="420"/>
        <w:jc w:val="left"/>
      </w:pPr>
      <w:r>
        <w:rPr>
          <w:rFonts w:ascii="仿宋_GB2312" w:hAnsi="仿宋_GB2312" w:eastAsia="仿宋_GB2312" w:cs="仿宋_GB2312"/>
          <w:sz w:val="21"/>
        </w:rPr>
        <w:t>1.不可抗力指下列事件：战争、动乱、瘟疫、严重火灾、洪水、地震、风暴或其他自然灾害，以及本协议各方不可预见、不可防止并不能避免或克服的一切其他事件。</w:t>
      </w:r>
    </w:p>
    <w:p w14:paraId="287F1D61">
      <w:pPr>
        <w:pStyle w:val="11"/>
        <w:spacing w:line="540" w:lineRule="exact"/>
        <w:ind w:firstLine="420"/>
        <w:jc w:val="left"/>
      </w:pPr>
      <w:r>
        <w:rPr>
          <w:rFonts w:ascii="仿宋_GB2312" w:hAnsi="仿宋_GB2312" w:eastAsia="仿宋_GB2312" w:cs="仿宋_GB2312"/>
          <w:sz w:val="21"/>
        </w:rPr>
        <w:t>2.任何一方因不可抗力不能履行本协议规定的全部或部分义务，该方应尽快通知另一方，并须在不可抗力发生后三日内以书面形式向另一方提供详细情况报告及不可抗力对履行本协议的影响程度的说明。</w:t>
      </w:r>
    </w:p>
    <w:p w14:paraId="7C1595F0">
      <w:pPr>
        <w:pStyle w:val="11"/>
        <w:spacing w:line="540" w:lineRule="exact"/>
        <w:ind w:firstLine="420"/>
        <w:jc w:val="left"/>
      </w:pPr>
      <w:r>
        <w:rPr>
          <w:rFonts w:ascii="仿宋_GB2312" w:hAnsi="仿宋_GB2312" w:eastAsia="仿宋_GB2312" w:cs="仿宋_GB2312"/>
          <w:sz w:val="21"/>
        </w:rPr>
        <w:t>3.发生不可抗力事件，任何一方均不对因不可抗力无法履行或迟延履行本协议义务而使另一方蒙受的任何损失承担责任。但遭受不可抗力影响的一方有责任尽可能及时采取适当或必要措施减少或消除不可抗力的影响。遭受不可抗力影响的一方对因未尽本项责任而造成 的相关损失承担责任。</w:t>
      </w:r>
    </w:p>
    <w:p w14:paraId="3EEC2079">
      <w:pPr>
        <w:pStyle w:val="11"/>
        <w:spacing w:line="540" w:lineRule="exact"/>
        <w:ind w:firstLine="420"/>
        <w:jc w:val="left"/>
      </w:pPr>
      <w:r>
        <w:rPr>
          <w:rFonts w:ascii="仿宋_GB2312" w:hAnsi="仿宋_GB2312" w:eastAsia="仿宋_GB2312" w:cs="仿宋_GB2312"/>
          <w:sz w:val="21"/>
        </w:rPr>
        <w:t>4.协议各方应根据不可抗力对本协议履行的影响程度，协商确定是否终止本协议，或是继续履行本协议。</w:t>
      </w:r>
    </w:p>
    <w:p w14:paraId="66AC029A">
      <w:pPr>
        <w:pStyle w:val="11"/>
        <w:spacing w:line="540" w:lineRule="exact"/>
        <w:ind w:firstLine="480"/>
        <w:jc w:val="left"/>
      </w:pPr>
      <w:r>
        <w:rPr>
          <w:rFonts w:ascii="仿宋_GB2312" w:hAnsi="仿宋_GB2312" w:eastAsia="仿宋_GB2312" w:cs="仿宋_GB2312"/>
          <w:sz w:val="24"/>
        </w:rPr>
        <w:t>十一、保密条款</w:t>
      </w:r>
    </w:p>
    <w:p w14:paraId="5B07D64A">
      <w:pPr>
        <w:pStyle w:val="11"/>
        <w:spacing w:line="540" w:lineRule="exact"/>
        <w:ind w:firstLine="420"/>
        <w:jc w:val="left"/>
      </w:pPr>
      <w:r>
        <w:rPr>
          <w:rFonts w:ascii="仿宋_GB2312" w:hAnsi="仿宋_GB2312" w:eastAsia="仿宋_GB2312" w:cs="仿宋_GB2312"/>
          <w:sz w:val="21"/>
        </w:rPr>
        <w:t>1.任何一方对在履约中获知的国家秘密和其他各方的商业秘密负有保密义务。</w:t>
      </w:r>
    </w:p>
    <w:p w14:paraId="7024EEE0">
      <w:pPr>
        <w:pStyle w:val="11"/>
        <w:spacing w:line="540" w:lineRule="exact"/>
        <w:ind w:firstLine="420"/>
        <w:jc w:val="left"/>
      </w:pPr>
      <w:r>
        <w:rPr>
          <w:rFonts w:ascii="仿宋_GB2312" w:hAnsi="仿宋_GB2312" w:eastAsia="仿宋_GB2312" w:cs="仿宋_GB2312"/>
          <w:sz w:val="21"/>
        </w:rPr>
        <w:t>2.除非法律、法规另有规定或得到本协议另一方的书面许可，任何一方不得向第三人泄露前款规定的国家秘密和商业秘密。保密期限自任何一方获知该商业秘密和国家秘密之日起至本条规定的秘密成为公众信息之日止。</w:t>
      </w:r>
    </w:p>
    <w:p w14:paraId="1727DE21">
      <w:pPr>
        <w:pStyle w:val="11"/>
        <w:spacing w:line="540" w:lineRule="exact"/>
        <w:ind w:firstLine="480"/>
        <w:jc w:val="left"/>
      </w:pPr>
      <w:r>
        <w:rPr>
          <w:rFonts w:ascii="仿宋_GB2312" w:hAnsi="仿宋_GB2312" w:eastAsia="仿宋_GB2312" w:cs="仿宋_GB2312"/>
          <w:sz w:val="24"/>
        </w:rPr>
        <w:t xml:space="preserve">十二、协议的解释和法律适用 </w:t>
      </w:r>
    </w:p>
    <w:p w14:paraId="056380C9">
      <w:pPr>
        <w:pStyle w:val="11"/>
        <w:spacing w:line="540" w:lineRule="exact"/>
        <w:ind w:firstLine="420"/>
        <w:jc w:val="left"/>
      </w:pPr>
      <w:r>
        <w:rPr>
          <w:rFonts w:ascii="仿宋_GB2312" w:hAnsi="仿宋_GB2312" w:eastAsia="仿宋_GB2312" w:cs="仿宋_GB2312"/>
          <w:sz w:val="21"/>
        </w:rPr>
        <w:t xml:space="preserve">1.任何一方对本协议及其附件的解释均应遵循诚实信用原则，依照中华人民共和国法律法规和行业主管部门的管理规定进行。 </w:t>
      </w:r>
    </w:p>
    <w:p w14:paraId="69B243A6">
      <w:pPr>
        <w:pStyle w:val="11"/>
        <w:spacing w:line="540" w:lineRule="exact"/>
        <w:ind w:firstLine="420"/>
        <w:jc w:val="left"/>
      </w:pPr>
      <w:r>
        <w:rPr>
          <w:rFonts w:ascii="仿宋_GB2312" w:hAnsi="仿宋_GB2312" w:eastAsia="仿宋_GB2312" w:cs="仿宋_GB2312"/>
          <w:sz w:val="21"/>
        </w:rPr>
        <w:t xml:space="preserve">2.本协议标题仅供查阅方便，并非对本协议的诠释或解释；本协议中以日表述的时间期限均指自然日。 </w:t>
      </w:r>
    </w:p>
    <w:p w14:paraId="5EB24BE5">
      <w:pPr>
        <w:pStyle w:val="11"/>
        <w:spacing w:line="540" w:lineRule="exact"/>
        <w:ind w:firstLine="420"/>
        <w:jc w:val="left"/>
      </w:pPr>
      <w:r>
        <w:rPr>
          <w:rFonts w:ascii="仿宋_GB2312" w:hAnsi="仿宋_GB2312" w:eastAsia="仿宋_GB2312" w:cs="仿宋_GB2312"/>
          <w:sz w:val="21"/>
        </w:rPr>
        <w:t xml:space="preserve">3.对本协议的任何解释均应以书面作出。 </w:t>
      </w:r>
    </w:p>
    <w:p w14:paraId="67EDA8C1">
      <w:pPr>
        <w:pStyle w:val="11"/>
        <w:spacing w:line="540" w:lineRule="exact"/>
        <w:ind w:firstLine="420"/>
        <w:jc w:val="left"/>
      </w:pPr>
      <w:r>
        <w:rPr>
          <w:rFonts w:ascii="仿宋_GB2312" w:hAnsi="仿宋_GB2312" w:eastAsia="仿宋_GB2312" w:cs="仿宋_GB2312"/>
          <w:sz w:val="21"/>
        </w:rPr>
        <w:t>4.本协议及附件的订立、效力、履行、争议的解决等均适用中华人民共和国法律法规。</w:t>
      </w:r>
    </w:p>
    <w:p w14:paraId="4ED1851A">
      <w:pPr>
        <w:pStyle w:val="11"/>
        <w:spacing w:line="540" w:lineRule="exact"/>
        <w:ind w:firstLine="480"/>
        <w:jc w:val="left"/>
      </w:pPr>
      <w:r>
        <w:rPr>
          <w:rFonts w:ascii="仿宋_GB2312" w:hAnsi="仿宋_GB2312" w:eastAsia="仿宋_GB2312" w:cs="仿宋_GB2312"/>
          <w:sz w:val="24"/>
        </w:rPr>
        <w:t>十三、争议的解决</w:t>
      </w:r>
    </w:p>
    <w:p w14:paraId="3665936B">
      <w:pPr>
        <w:pStyle w:val="11"/>
        <w:spacing w:line="540" w:lineRule="exact"/>
        <w:ind w:firstLine="420"/>
        <w:jc w:val="left"/>
      </w:pPr>
      <w:r>
        <w:rPr>
          <w:rFonts w:ascii="仿宋_GB2312" w:hAnsi="仿宋_GB2312" w:eastAsia="仿宋_GB2312" w:cs="仿宋_GB2312"/>
          <w:sz w:val="21"/>
        </w:rPr>
        <w:t>协议双方应通过友好协商解决因解释、执行本协议所发生的和本协议有关的一切争议。如果经协商不能达成一致，双方同意在甲方所在地有管辖权的人民法院提起诉讼解决。</w:t>
      </w:r>
    </w:p>
    <w:p w14:paraId="33F41ED4">
      <w:pPr>
        <w:pStyle w:val="11"/>
        <w:spacing w:line="540" w:lineRule="exact"/>
        <w:ind w:firstLine="480"/>
        <w:jc w:val="left"/>
      </w:pPr>
      <w:r>
        <w:rPr>
          <w:rFonts w:ascii="仿宋_GB2312" w:hAnsi="仿宋_GB2312" w:eastAsia="仿宋_GB2312" w:cs="仿宋_GB2312"/>
          <w:sz w:val="24"/>
        </w:rPr>
        <w:t xml:space="preserve">十四、协议的终止 </w:t>
      </w:r>
    </w:p>
    <w:p w14:paraId="43FD2F6F">
      <w:pPr>
        <w:pStyle w:val="11"/>
        <w:spacing w:line="540" w:lineRule="exact"/>
        <w:ind w:firstLine="420"/>
        <w:jc w:val="left"/>
      </w:pPr>
      <w:r>
        <w:rPr>
          <w:rFonts w:ascii="仿宋_GB2312" w:hAnsi="仿宋_GB2312" w:eastAsia="仿宋_GB2312" w:cs="仿宋_GB2312"/>
          <w:sz w:val="21"/>
        </w:rPr>
        <w:t xml:space="preserve">本协议因下列原因而终止： </w:t>
      </w:r>
    </w:p>
    <w:p w14:paraId="022BD08D">
      <w:pPr>
        <w:pStyle w:val="11"/>
        <w:spacing w:line="540" w:lineRule="exact"/>
        <w:ind w:firstLine="420"/>
        <w:jc w:val="left"/>
      </w:pPr>
      <w:r>
        <w:rPr>
          <w:rFonts w:ascii="仿宋_GB2312" w:hAnsi="仿宋_GB2312" w:eastAsia="仿宋_GB2312" w:cs="仿宋_GB2312"/>
          <w:sz w:val="21"/>
        </w:rPr>
        <w:t xml:space="preserve">1.本协议正常履行到期； </w:t>
      </w:r>
    </w:p>
    <w:p w14:paraId="69E7B1E6">
      <w:pPr>
        <w:pStyle w:val="11"/>
        <w:spacing w:line="540" w:lineRule="exact"/>
        <w:ind w:firstLine="420"/>
        <w:jc w:val="left"/>
      </w:pPr>
      <w:r>
        <w:rPr>
          <w:rFonts w:ascii="仿宋_GB2312" w:hAnsi="仿宋_GB2312" w:eastAsia="仿宋_GB2312" w:cs="仿宋_GB2312"/>
          <w:sz w:val="21"/>
        </w:rPr>
        <w:t xml:space="preserve">2.协议双方协商终止本协议的履行； </w:t>
      </w:r>
    </w:p>
    <w:p w14:paraId="3160E6AD">
      <w:pPr>
        <w:pStyle w:val="11"/>
        <w:spacing w:line="540" w:lineRule="exact"/>
        <w:ind w:firstLine="420"/>
        <w:jc w:val="left"/>
      </w:pPr>
      <w:r>
        <w:rPr>
          <w:rFonts w:ascii="仿宋_GB2312" w:hAnsi="仿宋_GB2312" w:eastAsia="仿宋_GB2312" w:cs="仿宋_GB2312"/>
          <w:sz w:val="21"/>
        </w:rPr>
        <w:t xml:space="preserve">3.不可抗力事件导致本协议无法履行或不必要履行； </w:t>
      </w:r>
    </w:p>
    <w:p w14:paraId="0980D029">
      <w:pPr>
        <w:pStyle w:val="11"/>
        <w:spacing w:line="540" w:lineRule="exact"/>
        <w:ind w:firstLine="420"/>
        <w:jc w:val="left"/>
      </w:pPr>
      <w:r>
        <w:rPr>
          <w:rFonts w:ascii="仿宋_GB2312" w:hAnsi="仿宋_GB2312" w:eastAsia="仿宋_GB2312" w:cs="仿宋_GB2312"/>
          <w:sz w:val="21"/>
        </w:rPr>
        <w:t>4.政府采购主管部门决定终止履行；</w:t>
      </w:r>
    </w:p>
    <w:p w14:paraId="4D5015F2">
      <w:pPr>
        <w:pStyle w:val="11"/>
        <w:spacing w:line="540" w:lineRule="exact"/>
        <w:ind w:firstLine="420"/>
        <w:jc w:val="left"/>
      </w:pPr>
      <w:r>
        <w:rPr>
          <w:rFonts w:ascii="仿宋_GB2312" w:hAnsi="仿宋_GB2312" w:eastAsia="仿宋_GB2312" w:cs="仿宋_GB2312"/>
          <w:sz w:val="21"/>
        </w:rPr>
        <w:t xml:space="preserve">对本协议终止有过错的一方应赔偿另一方因协议终止而受到的损失。对协议终止双方均无过错的，则各自承担所受到的损失。 </w:t>
      </w:r>
    </w:p>
    <w:p w14:paraId="46A9204D">
      <w:pPr>
        <w:pStyle w:val="11"/>
        <w:spacing w:line="540" w:lineRule="exact"/>
        <w:ind w:firstLine="480"/>
        <w:jc w:val="left"/>
      </w:pPr>
      <w:r>
        <w:rPr>
          <w:rFonts w:ascii="仿宋_GB2312" w:hAnsi="仿宋_GB2312" w:eastAsia="仿宋_GB2312" w:cs="仿宋_GB2312"/>
          <w:sz w:val="24"/>
        </w:rPr>
        <w:t xml:space="preserve">十五、权利的保留 </w:t>
      </w:r>
    </w:p>
    <w:p w14:paraId="1917E973">
      <w:pPr>
        <w:pStyle w:val="11"/>
        <w:spacing w:line="540" w:lineRule="exact"/>
        <w:ind w:firstLine="420"/>
        <w:jc w:val="left"/>
      </w:pPr>
      <w:r>
        <w:rPr>
          <w:rFonts w:ascii="仿宋_GB2312" w:hAnsi="仿宋_GB2312" w:eastAsia="仿宋_GB2312" w:cs="仿宋_GB2312"/>
          <w:sz w:val="21"/>
        </w:rPr>
        <w:t xml:space="preserve">1.任何一方没有行使其权利或没有就违约方的违约行为采取任何行动，不应被视为是对其权利的放弃或对追究另一方违约责任权利的放弃。任何一方放弃针对违约方的某种权利，或放弃追究违约方的某种责任，不应视为对其他权利或追究其他责任的放弃。 </w:t>
      </w:r>
    </w:p>
    <w:p w14:paraId="3679CDF7">
      <w:pPr>
        <w:pStyle w:val="11"/>
        <w:spacing w:line="540" w:lineRule="exact"/>
        <w:ind w:firstLine="420"/>
        <w:jc w:val="left"/>
      </w:pPr>
      <w:r>
        <w:rPr>
          <w:rFonts w:ascii="仿宋_GB2312" w:hAnsi="仿宋_GB2312" w:eastAsia="仿宋_GB2312" w:cs="仿宋_GB2312"/>
          <w:sz w:val="21"/>
        </w:rPr>
        <w:t>2.如果本协议部分条款依据现行有关法律、法规被确认为无效或无法履行，且该部分无效或无法履行的条款不影响本协议其他条款效力的，本协议其他条款继续有效；同时，协议双方应根据现行有关法律、法规对该部分无效或无法履行的条款进行调整，使其依法成为 有效条款，符合政府采购的规则，并尽量符合当事人订立本协议的真实意愿。</w:t>
      </w:r>
      <w:r>
        <w:rPr>
          <w:rFonts w:ascii="仿宋_GB2312" w:hAnsi="仿宋_GB2312" w:eastAsia="仿宋_GB2312" w:cs="仿宋_GB2312"/>
        </w:rPr>
        <w:t xml:space="preserve"> </w:t>
      </w:r>
    </w:p>
    <w:p w14:paraId="1118A766">
      <w:pPr>
        <w:pStyle w:val="11"/>
        <w:spacing w:line="540" w:lineRule="exact"/>
        <w:ind w:firstLine="420"/>
        <w:jc w:val="left"/>
      </w:pPr>
      <w:r>
        <w:rPr>
          <w:rFonts w:ascii="仿宋_GB2312" w:hAnsi="仿宋_GB2312" w:eastAsia="仿宋_GB2312" w:cs="仿宋_GB2312"/>
          <w:sz w:val="21"/>
        </w:rPr>
        <w:t>3.在本协议履行期间，因法律、法规、政策的变化致使本协议的部分条款相冲突、无效或失去可强制执行效力时，双方同意合作尽快修改本协议中相冲突或无效或失去强制执行效力的有关条款。</w:t>
      </w:r>
    </w:p>
    <w:p w14:paraId="1BDEF773">
      <w:pPr>
        <w:pStyle w:val="11"/>
        <w:spacing w:line="540" w:lineRule="exact"/>
        <w:ind w:firstLine="480"/>
        <w:jc w:val="left"/>
      </w:pPr>
      <w:r>
        <w:rPr>
          <w:rFonts w:ascii="仿宋_GB2312" w:hAnsi="仿宋_GB2312" w:eastAsia="仿宋_GB2312" w:cs="仿宋_GB2312"/>
          <w:sz w:val="24"/>
        </w:rPr>
        <w:t xml:space="preserve">十六、协议的补充、修改和变更 </w:t>
      </w:r>
    </w:p>
    <w:p w14:paraId="518908E7">
      <w:pPr>
        <w:pStyle w:val="11"/>
        <w:spacing w:line="540" w:lineRule="exact"/>
        <w:ind w:firstLine="420"/>
        <w:jc w:val="left"/>
      </w:pPr>
      <w:r>
        <w:rPr>
          <w:rFonts w:ascii="仿宋_GB2312" w:hAnsi="仿宋_GB2312" w:eastAsia="仿宋_GB2312" w:cs="仿宋_GB2312"/>
          <w:sz w:val="21"/>
        </w:rPr>
        <w:t xml:space="preserve">1.双方协商一致，可以对本协议进行补充、修改或变更。 </w:t>
      </w:r>
    </w:p>
    <w:p w14:paraId="1FF739DB">
      <w:pPr>
        <w:pStyle w:val="11"/>
        <w:spacing w:line="540" w:lineRule="exact"/>
        <w:ind w:firstLine="420"/>
        <w:jc w:val="left"/>
      </w:pPr>
      <w:r>
        <w:rPr>
          <w:rFonts w:ascii="仿宋_GB2312" w:hAnsi="仿宋_GB2312" w:eastAsia="仿宋_GB2312" w:cs="仿宋_GB2312"/>
          <w:sz w:val="21"/>
        </w:rPr>
        <w:t xml:space="preserve">2.对本协议的任何补充、修改或变更必须以书面形式进行。 </w:t>
      </w:r>
    </w:p>
    <w:p w14:paraId="4B820CB9">
      <w:pPr>
        <w:pStyle w:val="11"/>
        <w:spacing w:line="540" w:lineRule="exact"/>
        <w:ind w:firstLine="420"/>
        <w:jc w:val="left"/>
      </w:pPr>
      <w:r>
        <w:rPr>
          <w:rFonts w:ascii="仿宋_GB2312" w:hAnsi="仿宋_GB2312" w:eastAsia="仿宋_GB2312" w:cs="仿宋_GB2312"/>
          <w:sz w:val="21"/>
        </w:rPr>
        <w:t xml:space="preserve">3.双方签订的补充协议以及修改或变更的条款与本协议具有同等法律效力。 </w:t>
      </w:r>
    </w:p>
    <w:p w14:paraId="4A67DB8C">
      <w:pPr>
        <w:pStyle w:val="11"/>
        <w:spacing w:line="540" w:lineRule="exact"/>
        <w:ind w:firstLine="480"/>
        <w:jc w:val="left"/>
      </w:pPr>
      <w:r>
        <w:rPr>
          <w:rFonts w:ascii="仿宋_GB2312" w:hAnsi="仿宋_GB2312" w:eastAsia="仿宋_GB2312" w:cs="仿宋_GB2312"/>
          <w:sz w:val="24"/>
        </w:rPr>
        <w:t xml:space="preserve">十七、协议的生效 </w:t>
      </w:r>
    </w:p>
    <w:p w14:paraId="663D1D7A">
      <w:pPr>
        <w:pStyle w:val="11"/>
        <w:spacing w:line="540" w:lineRule="exact"/>
        <w:ind w:firstLine="420"/>
        <w:jc w:val="left"/>
      </w:pPr>
      <w:r>
        <w:rPr>
          <w:rFonts w:ascii="仿宋_GB2312" w:hAnsi="仿宋_GB2312" w:eastAsia="仿宋_GB2312" w:cs="仿宋_GB2312"/>
          <w:sz w:val="21"/>
        </w:rPr>
        <w:t xml:space="preserve">本协议经双方有权代表签字并加盖单位公章后生效。 </w:t>
      </w:r>
    </w:p>
    <w:p w14:paraId="5C7277C0">
      <w:pPr>
        <w:pStyle w:val="11"/>
        <w:spacing w:line="540" w:lineRule="exact"/>
        <w:ind w:firstLine="480"/>
        <w:jc w:val="left"/>
      </w:pPr>
      <w:r>
        <w:rPr>
          <w:rFonts w:ascii="仿宋_GB2312" w:hAnsi="仿宋_GB2312" w:eastAsia="仿宋_GB2312" w:cs="仿宋_GB2312"/>
          <w:sz w:val="24"/>
        </w:rPr>
        <w:t>十八、联系方式</w:t>
      </w:r>
    </w:p>
    <w:p w14:paraId="6D74F4E9">
      <w:pPr>
        <w:pStyle w:val="11"/>
        <w:spacing w:line="540" w:lineRule="exact"/>
        <w:ind w:firstLine="420"/>
        <w:jc w:val="left"/>
      </w:pPr>
      <w:r>
        <w:rPr>
          <w:rFonts w:ascii="仿宋_GB2312" w:hAnsi="仿宋_GB2312" w:eastAsia="仿宋_GB2312" w:cs="仿宋_GB2312"/>
          <w:sz w:val="21"/>
        </w:rPr>
        <w:t>1.协议双方发出与本协议有关的通知或回复，应以专人送达、传真或特快专递方式发出; 如果以专人送达或特快专递发送，送达地址信息以协议尾页填写的信息为准，出现变更未及时告知的责任概由未履行通知义务的一方承担;如果以传真方式发送，发件人在收到传真报告后视为送达。</w:t>
      </w:r>
    </w:p>
    <w:p w14:paraId="70DF8E3D">
      <w:pPr>
        <w:pStyle w:val="11"/>
        <w:spacing w:line="540" w:lineRule="exact"/>
        <w:ind w:firstLine="420"/>
        <w:jc w:val="left"/>
      </w:pPr>
      <w:r>
        <w:rPr>
          <w:rFonts w:ascii="仿宋_GB2312" w:hAnsi="仿宋_GB2312" w:eastAsia="仿宋_GB2312" w:cs="仿宋_GB2312"/>
          <w:sz w:val="21"/>
        </w:rPr>
        <w:t>2.一方变更通讯地址或帐号，应自变更之日起三个工作日内，将变更后的地址通知对方。变更方不履行通知义务的，应对此造成的一切后果承担法律责任。</w:t>
      </w:r>
    </w:p>
    <w:p w14:paraId="5FD72D1C">
      <w:pPr>
        <w:pStyle w:val="11"/>
        <w:spacing w:line="540" w:lineRule="exact"/>
        <w:ind w:firstLine="420"/>
        <w:jc w:val="left"/>
      </w:pPr>
      <w:r>
        <w:rPr>
          <w:rFonts w:ascii="仿宋_GB2312" w:hAnsi="仿宋_GB2312" w:eastAsia="仿宋_GB2312" w:cs="仿宋_GB2312"/>
          <w:sz w:val="21"/>
        </w:rPr>
        <w:t>3.本协议正本四份，甲方执两份，乙方执一份，一份报本级财政部门备案，每份正本具有同等法律效力。</w:t>
      </w:r>
    </w:p>
    <w:p w14:paraId="4FEE8C2B">
      <w:pPr>
        <w:pStyle w:val="11"/>
        <w:spacing w:line="540" w:lineRule="exact"/>
        <w:ind w:firstLine="420"/>
        <w:jc w:val="left"/>
      </w:pPr>
      <w:r>
        <w:rPr>
          <w:rFonts w:ascii="仿宋_GB2312" w:hAnsi="仿宋_GB2312" w:eastAsia="仿宋_GB2312" w:cs="仿宋_GB2312"/>
          <w:sz w:val="21"/>
        </w:rPr>
        <w:t>附件：1.委托代理协议</w:t>
      </w:r>
    </w:p>
    <w:p w14:paraId="4948351F">
      <w:pPr>
        <w:pStyle w:val="11"/>
        <w:spacing w:after="120" w:line="540" w:lineRule="exact"/>
        <w:ind w:firstLine="1050"/>
        <w:jc w:val="left"/>
      </w:pPr>
      <w:r>
        <w:rPr>
          <w:rFonts w:ascii="仿宋_GB2312" w:hAnsi="仿宋_GB2312" w:eastAsia="仿宋_GB2312" w:cs="仿宋_GB2312"/>
          <w:sz w:val="21"/>
        </w:rPr>
        <w:t>2.采购合同</w:t>
      </w:r>
    </w:p>
    <w:tbl>
      <w:tblPr>
        <w:tblStyle w:val="7"/>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1EA9AC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Borders>
              <w:top w:val="nil"/>
              <w:left w:val="nil"/>
              <w:bottom w:val="nil"/>
              <w:right w:val="nil"/>
            </w:tcBorders>
            <w:tcMar>
              <w:top w:w="0" w:type="dxa"/>
              <w:left w:w="105" w:type="dxa"/>
              <w:bottom w:w="0" w:type="dxa"/>
              <w:right w:w="105" w:type="dxa"/>
            </w:tcMar>
            <w:vAlign w:val="top"/>
          </w:tcPr>
          <w:p w14:paraId="1BEAABA3">
            <w:pPr>
              <w:widowControl/>
              <w:spacing w:after="50" w:line="540" w:lineRule="exact"/>
              <w:jc w:val="left"/>
            </w:pPr>
            <w:r>
              <w:rPr>
                <w:rFonts w:hint="eastAsia" w:ascii="宋体" w:hAnsi="宋体" w:eastAsia="宋体" w:cs="仿宋"/>
                <w:szCs w:val="21"/>
              </w:rPr>
              <w:t>甲方：（公章）</w:t>
            </w:r>
          </w:p>
        </w:tc>
        <w:tc>
          <w:tcPr>
            <w:tcW w:w="4153" w:type="dxa"/>
            <w:tcBorders>
              <w:top w:val="nil"/>
              <w:left w:val="nil"/>
              <w:bottom w:val="nil"/>
              <w:right w:val="nil"/>
            </w:tcBorders>
            <w:tcMar>
              <w:top w:w="0" w:type="dxa"/>
              <w:left w:w="105" w:type="dxa"/>
              <w:bottom w:w="0" w:type="dxa"/>
              <w:right w:w="105" w:type="dxa"/>
            </w:tcMar>
            <w:vAlign w:val="top"/>
          </w:tcPr>
          <w:p w14:paraId="03690BB4">
            <w:pPr>
              <w:widowControl/>
              <w:spacing w:after="50" w:line="540" w:lineRule="exact"/>
              <w:jc w:val="left"/>
              <w:rPr>
                <w:rFonts w:ascii="宋体" w:hAnsi="宋体" w:eastAsia="宋体" w:cs="仿宋"/>
                <w:szCs w:val="21"/>
              </w:rPr>
            </w:pPr>
            <w:r>
              <w:rPr>
                <w:rFonts w:hint="eastAsia" w:ascii="宋体" w:hAnsi="宋体" w:eastAsia="宋体" w:cs="仿宋"/>
                <w:szCs w:val="21"/>
              </w:rPr>
              <w:t>乙方：（公章）</w:t>
            </w:r>
          </w:p>
          <w:p w14:paraId="5668C441">
            <w:pPr>
              <w:widowControl/>
              <w:spacing w:after="50" w:line="540" w:lineRule="exact"/>
              <w:jc w:val="left"/>
              <w:rPr>
                <w:rFonts w:ascii="宋体" w:hAnsi="宋体" w:eastAsia="宋体" w:cs="仿宋"/>
                <w:szCs w:val="21"/>
              </w:rPr>
            </w:pPr>
          </w:p>
          <w:p w14:paraId="080665C1">
            <w:pPr>
              <w:widowControl/>
              <w:spacing w:after="50" w:line="540" w:lineRule="exact"/>
              <w:jc w:val="left"/>
            </w:pPr>
          </w:p>
        </w:tc>
      </w:tr>
      <w:tr w14:paraId="4D9921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Borders>
              <w:top w:val="nil"/>
              <w:left w:val="nil"/>
              <w:bottom w:val="nil"/>
              <w:right w:val="nil"/>
            </w:tcBorders>
            <w:tcMar>
              <w:top w:w="0" w:type="dxa"/>
              <w:left w:w="105" w:type="dxa"/>
              <w:bottom w:w="0" w:type="dxa"/>
              <w:right w:w="105" w:type="dxa"/>
            </w:tcMar>
            <w:vAlign w:val="top"/>
          </w:tcPr>
          <w:p w14:paraId="568F0A9D">
            <w:pPr>
              <w:widowControl/>
              <w:spacing w:after="50" w:line="540" w:lineRule="exact"/>
              <w:jc w:val="left"/>
              <w:rPr>
                <w:rFonts w:ascii="宋体" w:hAnsi="宋体" w:eastAsia="宋体" w:cs="仿宋"/>
                <w:szCs w:val="21"/>
              </w:rPr>
            </w:pPr>
            <w:r>
              <w:rPr>
                <w:rFonts w:ascii="宋体" w:hAnsi="宋体" w:eastAsia="宋体" w:cs="仿宋"/>
                <w:szCs w:val="21"/>
              </w:rPr>
              <w:t>法定代表人或授权代表</w:t>
            </w:r>
            <w:r>
              <w:rPr>
                <w:rFonts w:hint="eastAsia" w:ascii="宋体" w:hAnsi="宋体" w:eastAsia="宋体" w:cs="仿宋"/>
                <w:szCs w:val="21"/>
              </w:rPr>
              <w:t>：</w:t>
            </w:r>
          </w:p>
          <w:p w14:paraId="421986B3">
            <w:pPr>
              <w:widowControl/>
              <w:spacing w:after="50" w:line="540" w:lineRule="exact"/>
              <w:jc w:val="left"/>
              <w:rPr>
                <w:rFonts w:ascii="宋体" w:hAnsi="宋体" w:eastAsia="宋体" w:cs="仿宋"/>
                <w:szCs w:val="21"/>
              </w:rPr>
            </w:pPr>
            <w:r>
              <w:rPr>
                <w:rFonts w:hint="eastAsia" w:ascii="宋体" w:hAnsi="宋体" w:eastAsia="宋体" w:cs="仿宋"/>
                <w:szCs w:val="21"/>
              </w:rPr>
              <w:t>（签字或盖个人章）</w:t>
            </w:r>
          </w:p>
          <w:p w14:paraId="672323FF">
            <w:pPr>
              <w:widowControl/>
              <w:spacing w:after="50" w:line="540" w:lineRule="exact"/>
              <w:jc w:val="left"/>
              <w:rPr>
                <w:rFonts w:ascii="宋体" w:hAnsi="宋体" w:eastAsia="宋体" w:cs="仿宋"/>
                <w:szCs w:val="21"/>
              </w:rPr>
            </w:pPr>
          </w:p>
          <w:p w14:paraId="7C451C35">
            <w:pPr>
              <w:widowControl/>
              <w:spacing w:after="50" w:line="540" w:lineRule="exact"/>
              <w:jc w:val="left"/>
              <w:rPr>
                <w:rFonts w:ascii="宋体" w:hAnsi="宋体" w:eastAsia="宋体" w:cs="仿宋"/>
                <w:szCs w:val="21"/>
              </w:rPr>
            </w:pPr>
            <w:r>
              <w:rPr>
                <w:rFonts w:hint="eastAsia" w:ascii="宋体" w:hAnsi="宋体" w:eastAsia="宋体" w:cs="仿宋"/>
                <w:szCs w:val="21"/>
              </w:rPr>
              <w:t xml:space="preserve">统一社会信用代码：  </w:t>
            </w:r>
          </w:p>
          <w:p w14:paraId="7EB363D9">
            <w:pPr>
              <w:widowControl/>
              <w:spacing w:after="50" w:line="540" w:lineRule="exact"/>
              <w:jc w:val="left"/>
            </w:pPr>
            <w:r>
              <w:rPr>
                <w:rFonts w:ascii="宋体" w:hAnsi="宋体" w:eastAsia="宋体" w:cs="仿宋"/>
                <w:szCs w:val="21"/>
                <w:u w:val="single"/>
              </w:rPr>
              <w:t xml:space="preserve">           </w:t>
            </w:r>
            <w:r>
              <w:rPr>
                <w:rFonts w:hint="eastAsia" w:ascii="宋体" w:hAnsi="宋体" w:eastAsia="宋体" w:cs="仿宋"/>
                <w:szCs w:val="21"/>
                <w:u w:val="single"/>
                <w:lang w:val="en-US" w:eastAsia="zh-CN"/>
              </w:rPr>
              <w:t xml:space="preserve">                </w:t>
            </w:r>
            <w:r>
              <w:rPr>
                <w:rFonts w:ascii="宋体" w:hAnsi="宋体" w:eastAsia="宋体" w:cs="仿宋"/>
                <w:szCs w:val="21"/>
                <w:u w:val="single"/>
              </w:rPr>
              <w:t xml:space="preserve">          </w:t>
            </w:r>
          </w:p>
        </w:tc>
        <w:tc>
          <w:tcPr>
            <w:tcW w:w="4153" w:type="dxa"/>
            <w:tcBorders>
              <w:top w:val="nil"/>
              <w:left w:val="nil"/>
              <w:bottom w:val="nil"/>
              <w:right w:val="nil"/>
            </w:tcBorders>
            <w:tcMar>
              <w:top w:w="0" w:type="dxa"/>
              <w:left w:w="105" w:type="dxa"/>
              <w:bottom w:w="0" w:type="dxa"/>
              <w:right w:w="105" w:type="dxa"/>
            </w:tcMar>
            <w:vAlign w:val="top"/>
          </w:tcPr>
          <w:p w14:paraId="5590CDAC">
            <w:pPr>
              <w:widowControl/>
              <w:spacing w:after="50" w:line="540" w:lineRule="exact"/>
              <w:jc w:val="left"/>
              <w:rPr>
                <w:rFonts w:ascii="宋体" w:hAnsi="宋体" w:eastAsia="宋体" w:cs="仿宋"/>
                <w:szCs w:val="21"/>
              </w:rPr>
            </w:pPr>
            <w:r>
              <w:rPr>
                <w:rFonts w:ascii="宋体" w:hAnsi="宋体" w:eastAsia="宋体" w:cs="仿宋"/>
                <w:szCs w:val="21"/>
              </w:rPr>
              <w:t>法定代表人或授权代表</w:t>
            </w:r>
            <w:r>
              <w:rPr>
                <w:rFonts w:hint="eastAsia" w:ascii="宋体" w:hAnsi="宋体" w:eastAsia="宋体" w:cs="仿宋"/>
                <w:szCs w:val="21"/>
              </w:rPr>
              <w:t>：</w:t>
            </w:r>
          </w:p>
          <w:p w14:paraId="3E931FFA">
            <w:pPr>
              <w:widowControl/>
              <w:spacing w:after="50" w:line="540" w:lineRule="exact"/>
              <w:jc w:val="left"/>
              <w:rPr>
                <w:rFonts w:ascii="宋体" w:hAnsi="宋体" w:eastAsia="宋体" w:cs="仿宋"/>
                <w:szCs w:val="21"/>
              </w:rPr>
            </w:pPr>
            <w:r>
              <w:rPr>
                <w:rFonts w:hint="eastAsia" w:ascii="宋体" w:hAnsi="宋体" w:eastAsia="宋体" w:cs="仿宋"/>
                <w:szCs w:val="21"/>
              </w:rPr>
              <w:t>（签字或盖个人章）</w:t>
            </w:r>
          </w:p>
          <w:p w14:paraId="3B25C210">
            <w:pPr>
              <w:widowControl/>
              <w:spacing w:after="50" w:line="540" w:lineRule="exact"/>
              <w:jc w:val="left"/>
              <w:rPr>
                <w:rFonts w:ascii="宋体" w:hAnsi="宋体" w:eastAsia="宋体" w:cs="仿宋"/>
                <w:szCs w:val="21"/>
              </w:rPr>
            </w:pPr>
          </w:p>
          <w:p w14:paraId="6EBFFBDD">
            <w:pPr>
              <w:widowControl/>
              <w:spacing w:after="50" w:line="540" w:lineRule="exact"/>
              <w:jc w:val="left"/>
              <w:rPr>
                <w:rFonts w:ascii="宋体" w:hAnsi="宋体" w:eastAsia="宋体" w:cs="仿宋"/>
                <w:szCs w:val="21"/>
              </w:rPr>
            </w:pPr>
            <w:r>
              <w:rPr>
                <w:rFonts w:hint="eastAsia" w:ascii="宋体" w:hAnsi="宋体" w:eastAsia="宋体" w:cs="仿宋"/>
                <w:szCs w:val="21"/>
              </w:rPr>
              <w:t xml:space="preserve">统一社会信用代码：       </w:t>
            </w:r>
            <w:r>
              <w:rPr>
                <w:rFonts w:ascii="宋体" w:hAnsi="宋体" w:eastAsia="宋体" w:cs="仿宋"/>
                <w:szCs w:val="21"/>
              </w:rPr>
              <w:t xml:space="preserve">     </w:t>
            </w:r>
            <w:r>
              <w:rPr>
                <w:rFonts w:hint="eastAsia" w:ascii="宋体" w:hAnsi="宋体" w:eastAsia="宋体" w:cs="仿宋"/>
                <w:szCs w:val="21"/>
              </w:rPr>
              <w:t xml:space="preserve">  </w:t>
            </w:r>
          </w:p>
          <w:p w14:paraId="7707AABC">
            <w:pPr>
              <w:widowControl/>
              <w:spacing w:after="50" w:line="540" w:lineRule="exact"/>
              <w:jc w:val="left"/>
            </w:pPr>
            <w:r>
              <w:rPr>
                <w:rFonts w:hint="eastAsia" w:ascii="宋体" w:hAnsi="宋体" w:eastAsia="宋体" w:cs="仿宋"/>
                <w:szCs w:val="21"/>
                <w:u w:val="single"/>
              </w:rPr>
              <w:t xml:space="preserve">    </w:t>
            </w:r>
            <w:r>
              <w:rPr>
                <w:rFonts w:ascii="宋体" w:hAnsi="宋体" w:eastAsia="宋体" w:cs="仿宋"/>
                <w:szCs w:val="21"/>
                <w:u w:val="single"/>
              </w:rPr>
              <w:t xml:space="preserve">                                     </w:t>
            </w:r>
          </w:p>
        </w:tc>
      </w:tr>
      <w:tr w14:paraId="1BD88B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Borders>
              <w:top w:val="nil"/>
              <w:left w:val="nil"/>
              <w:bottom w:val="nil"/>
              <w:right w:val="nil"/>
            </w:tcBorders>
            <w:tcMar>
              <w:top w:w="0" w:type="dxa"/>
              <w:left w:w="105" w:type="dxa"/>
              <w:bottom w:w="0" w:type="dxa"/>
              <w:right w:w="105" w:type="dxa"/>
            </w:tcMar>
            <w:vAlign w:val="top"/>
          </w:tcPr>
          <w:p w14:paraId="374CAF82">
            <w:pPr>
              <w:widowControl/>
              <w:spacing w:after="50" w:line="540" w:lineRule="exact"/>
              <w:jc w:val="left"/>
              <w:rPr>
                <w:rFonts w:ascii="宋体" w:hAnsi="宋体" w:eastAsia="宋体" w:cs="仿宋"/>
                <w:szCs w:val="21"/>
                <w:u w:val="single"/>
              </w:rPr>
            </w:pPr>
            <w:r>
              <w:rPr>
                <w:rFonts w:hint="eastAsia" w:ascii="宋体" w:hAnsi="宋体" w:eastAsia="宋体" w:cs="仿宋"/>
                <w:szCs w:val="21"/>
              </w:rPr>
              <w:t>地址：</w:t>
            </w:r>
            <w:r>
              <w:rPr>
                <w:rFonts w:hint="eastAsia" w:ascii="宋体" w:hAnsi="宋体" w:eastAsia="宋体" w:cs="仿宋"/>
                <w:szCs w:val="21"/>
                <w:u w:val="single"/>
              </w:rPr>
              <w:t xml:space="preserve">   </w:t>
            </w:r>
            <w:r>
              <w:rPr>
                <w:rFonts w:ascii="宋体" w:hAnsi="宋体" w:eastAsia="宋体" w:cs="仿宋"/>
                <w:szCs w:val="21"/>
                <w:u w:val="single"/>
              </w:rPr>
              <w:t xml:space="preserve">      </w:t>
            </w:r>
            <w:r>
              <w:rPr>
                <w:rFonts w:hint="eastAsia" w:ascii="宋体" w:hAnsi="宋体" w:eastAsia="宋体" w:cs="仿宋"/>
                <w:szCs w:val="21"/>
                <w:u w:val="single"/>
                <w:lang w:val="en-US" w:eastAsia="zh-CN"/>
              </w:rPr>
              <w:t xml:space="preserve">                    </w:t>
            </w:r>
            <w:r>
              <w:rPr>
                <w:rFonts w:ascii="宋体" w:hAnsi="宋体" w:eastAsia="宋体" w:cs="仿宋"/>
                <w:szCs w:val="21"/>
                <w:u w:val="single"/>
              </w:rPr>
              <w:t xml:space="preserve">   </w:t>
            </w:r>
          </w:p>
          <w:p w14:paraId="21BDB1FC">
            <w:pPr>
              <w:widowControl/>
              <w:spacing w:after="50" w:line="540" w:lineRule="exact"/>
              <w:jc w:val="left"/>
              <w:rPr>
                <w:rFonts w:ascii="宋体" w:hAnsi="宋体" w:eastAsia="宋体" w:cs="仿宋"/>
                <w:szCs w:val="21"/>
                <w:u w:val="single"/>
              </w:rPr>
            </w:pPr>
            <w:r>
              <w:rPr>
                <w:rFonts w:ascii="宋体" w:hAnsi="宋体" w:eastAsia="宋体" w:cs="仿宋"/>
                <w:szCs w:val="21"/>
                <w:u w:val="single"/>
              </w:rPr>
              <w:t xml:space="preserve">                </w:t>
            </w:r>
            <w:r>
              <w:rPr>
                <w:rFonts w:hint="eastAsia" w:ascii="宋体" w:hAnsi="宋体" w:eastAsia="宋体" w:cs="仿宋"/>
                <w:szCs w:val="21"/>
                <w:u w:val="single"/>
                <w:lang w:val="en-US" w:eastAsia="zh-CN"/>
              </w:rPr>
              <w:t xml:space="preserve">               </w:t>
            </w:r>
            <w:r>
              <w:rPr>
                <w:rFonts w:hint="eastAsia" w:ascii="宋体" w:hAnsi="宋体" w:eastAsia="宋体" w:cs="仿宋"/>
                <w:szCs w:val="21"/>
                <w:u w:val="single"/>
              </w:rPr>
              <w:t xml:space="preserve">       </w:t>
            </w:r>
          </w:p>
          <w:p w14:paraId="54861B79">
            <w:pPr>
              <w:widowControl/>
              <w:spacing w:after="50" w:line="540" w:lineRule="exact"/>
              <w:jc w:val="left"/>
              <w:rPr>
                <w:rFonts w:ascii="宋体" w:hAnsi="宋体" w:eastAsia="宋体" w:cs="仿宋"/>
                <w:szCs w:val="21"/>
                <w:u w:val="single"/>
              </w:rPr>
            </w:pPr>
            <w:r>
              <w:rPr>
                <w:rFonts w:hint="eastAsia" w:ascii="宋体" w:hAnsi="宋体" w:eastAsia="宋体" w:cs="仿宋"/>
                <w:szCs w:val="21"/>
              </w:rPr>
              <w:t>电话：</w:t>
            </w:r>
            <w:r>
              <w:rPr>
                <w:rFonts w:hint="eastAsia" w:ascii="宋体" w:hAnsi="宋体" w:eastAsia="宋体" w:cs="仿宋"/>
                <w:szCs w:val="21"/>
                <w:u w:val="single"/>
              </w:rPr>
              <w:t xml:space="preserve">   </w:t>
            </w:r>
            <w:r>
              <w:rPr>
                <w:rFonts w:hint="eastAsia" w:ascii="宋体" w:hAnsi="宋体" w:eastAsia="宋体" w:cs="仿宋"/>
                <w:szCs w:val="21"/>
                <w:u w:val="single"/>
                <w:lang w:val="en-US" w:eastAsia="zh-CN"/>
              </w:rPr>
              <w:t xml:space="preserve">                        </w:t>
            </w:r>
            <w:r>
              <w:rPr>
                <w:rFonts w:ascii="宋体" w:hAnsi="宋体" w:eastAsia="宋体" w:cs="仿宋"/>
                <w:szCs w:val="21"/>
                <w:u w:val="single"/>
              </w:rPr>
              <w:t xml:space="preserve"> </w:t>
            </w:r>
            <w:r>
              <w:rPr>
                <w:rFonts w:hint="eastAsia" w:ascii="宋体" w:hAnsi="宋体" w:eastAsia="宋体" w:cs="仿宋"/>
                <w:szCs w:val="21"/>
                <w:u w:val="single"/>
              </w:rPr>
              <w:t xml:space="preserve">    </w:t>
            </w:r>
          </w:p>
          <w:p w14:paraId="7C4A4079">
            <w:pPr>
              <w:widowControl/>
              <w:spacing w:after="50" w:line="540" w:lineRule="exact"/>
              <w:jc w:val="left"/>
            </w:pPr>
            <w:r>
              <w:rPr>
                <w:rFonts w:hint="eastAsia" w:ascii="宋体" w:hAnsi="宋体" w:eastAsia="宋体" w:cs="仿宋"/>
                <w:szCs w:val="21"/>
              </w:rPr>
              <w:t>签订日期</w:t>
            </w:r>
            <w:r>
              <w:rPr>
                <w:rFonts w:hint="eastAsia" w:ascii="宋体" w:hAnsi="宋体" w:eastAsia="宋体" w:cs="仿宋"/>
                <w:szCs w:val="21"/>
                <w:lang w:val="en-US" w:eastAsia="zh-CN"/>
              </w:rPr>
              <w:t>：    年   月   日</w:t>
            </w:r>
          </w:p>
        </w:tc>
        <w:tc>
          <w:tcPr>
            <w:tcW w:w="4153" w:type="dxa"/>
            <w:tcBorders>
              <w:top w:val="nil"/>
              <w:left w:val="nil"/>
              <w:bottom w:val="nil"/>
              <w:right w:val="nil"/>
            </w:tcBorders>
            <w:tcMar>
              <w:top w:w="0" w:type="dxa"/>
              <w:left w:w="105" w:type="dxa"/>
              <w:bottom w:w="0" w:type="dxa"/>
              <w:right w:w="105" w:type="dxa"/>
            </w:tcMar>
            <w:vAlign w:val="top"/>
          </w:tcPr>
          <w:p w14:paraId="0CA59DF5">
            <w:pPr>
              <w:widowControl/>
              <w:spacing w:after="50" w:line="540" w:lineRule="exact"/>
              <w:jc w:val="left"/>
              <w:rPr>
                <w:rFonts w:ascii="宋体" w:hAnsi="宋体" w:eastAsia="宋体" w:cs="仿宋"/>
                <w:szCs w:val="21"/>
                <w:u w:val="single"/>
              </w:rPr>
            </w:pPr>
            <w:r>
              <w:rPr>
                <w:rFonts w:hint="eastAsia" w:ascii="宋体" w:hAnsi="宋体" w:eastAsia="宋体" w:cs="仿宋"/>
                <w:szCs w:val="21"/>
              </w:rPr>
              <w:t>地址：</w:t>
            </w:r>
            <w:r>
              <w:rPr>
                <w:rFonts w:hint="eastAsia" w:ascii="宋体" w:hAnsi="宋体" w:eastAsia="宋体" w:cs="仿宋"/>
                <w:szCs w:val="21"/>
                <w:u w:val="single"/>
              </w:rPr>
              <w:t xml:space="preserve">     </w:t>
            </w:r>
            <w:r>
              <w:rPr>
                <w:rFonts w:ascii="宋体" w:hAnsi="宋体" w:eastAsia="宋体" w:cs="仿宋"/>
                <w:szCs w:val="21"/>
                <w:u w:val="single"/>
              </w:rPr>
              <w:t xml:space="preserve">                     </w:t>
            </w:r>
            <w:r>
              <w:rPr>
                <w:rFonts w:hint="eastAsia" w:ascii="宋体" w:hAnsi="宋体" w:eastAsia="宋体" w:cs="仿宋"/>
                <w:szCs w:val="21"/>
                <w:u w:val="single"/>
              </w:rPr>
              <w:t xml:space="preserve">        </w:t>
            </w:r>
          </w:p>
          <w:p w14:paraId="560CE8CA">
            <w:pPr>
              <w:widowControl/>
              <w:spacing w:after="50" w:line="540" w:lineRule="exact"/>
              <w:jc w:val="left"/>
              <w:rPr>
                <w:rFonts w:ascii="宋体" w:hAnsi="宋体" w:eastAsia="宋体" w:cs="仿宋"/>
                <w:szCs w:val="21"/>
                <w:u w:val="single"/>
              </w:rPr>
            </w:pPr>
            <w:r>
              <w:rPr>
                <w:rFonts w:hint="eastAsia" w:ascii="宋体" w:hAnsi="宋体" w:eastAsia="宋体" w:cs="仿宋"/>
                <w:szCs w:val="21"/>
                <w:u w:val="single"/>
              </w:rPr>
              <w:t xml:space="preserve">      </w:t>
            </w:r>
            <w:r>
              <w:rPr>
                <w:rFonts w:ascii="宋体" w:hAnsi="宋体" w:eastAsia="宋体" w:cs="仿宋"/>
                <w:szCs w:val="21"/>
                <w:u w:val="single"/>
              </w:rPr>
              <w:t xml:space="preserve">                                   </w:t>
            </w:r>
          </w:p>
          <w:p w14:paraId="67CEE2E6">
            <w:pPr>
              <w:widowControl/>
              <w:spacing w:after="50" w:line="540" w:lineRule="exact"/>
              <w:jc w:val="left"/>
              <w:rPr>
                <w:rFonts w:ascii="宋体" w:hAnsi="宋体" w:eastAsia="宋体" w:cs="仿宋"/>
                <w:szCs w:val="21"/>
                <w:u w:val="single"/>
              </w:rPr>
            </w:pPr>
            <w:r>
              <w:rPr>
                <w:rFonts w:hint="eastAsia" w:ascii="宋体" w:hAnsi="宋体" w:eastAsia="宋体" w:cs="仿宋"/>
                <w:szCs w:val="21"/>
              </w:rPr>
              <w:t>电话：</w:t>
            </w:r>
            <w:r>
              <w:rPr>
                <w:rFonts w:hint="eastAsia" w:ascii="宋体" w:hAnsi="宋体" w:eastAsia="宋体" w:cs="仿宋"/>
                <w:szCs w:val="21"/>
                <w:u w:val="single"/>
              </w:rPr>
              <w:t xml:space="preserve">        </w:t>
            </w:r>
            <w:r>
              <w:rPr>
                <w:rFonts w:ascii="宋体" w:hAnsi="宋体" w:eastAsia="宋体" w:cs="仿宋"/>
                <w:szCs w:val="21"/>
                <w:u w:val="single"/>
              </w:rPr>
              <w:t xml:space="preserve">         </w:t>
            </w:r>
            <w:r>
              <w:rPr>
                <w:rFonts w:hint="eastAsia" w:ascii="宋体" w:hAnsi="宋体" w:eastAsia="宋体" w:cs="仿宋"/>
                <w:szCs w:val="21"/>
                <w:u w:val="single"/>
              </w:rPr>
              <w:t xml:space="preserve">                 </w:t>
            </w:r>
          </w:p>
          <w:p w14:paraId="7C7B92AE">
            <w:pPr>
              <w:widowControl/>
              <w:spacing w:after="50" w:line="540" w:lineRule="exact"/>
              <w:jc w:val="left"/>
            </w:pPr>
            <w:r>
              <w:rPr>
                <w:rFonts w:hint="eastAsia" w:ascii="宋体" w:hAnsi="宋体" w:eastAsia="宋体" w:cs="仿宋"/>
                <w:szCs w:val="21"/>
              </w:rPr>
              <w:t>签订日期：</w:t>
            </w:r>
            <w:r>
              <w:rPr>
                <w:rFonts w:hint="eastAsia" w:ascii="宋体" w:hAnsi="宋体" w:eastAsia="宋体" w:cs="仿宋"/>
                <w:szCs w:val="21"/>
                <w:lang w:val="en-US" w:eastAsia="zh-CN"/>
              </w:rPr>
              <w:t xml:space="preserve">    年   月   日</w:t>
            </w:r>
          </w:p>
        </w:tc>
      </w:tr>
    </w:tbl>
    <w:p w14:paraId="7E5F521B">
      <w:pPr>
        <w:pStyle w:val="11"/>
        <w:jc w:val="left"/>
        <w:rPr>
          <w:rFonts w:ascii="仿宋_GB2312" w:hAnsi="仿宋_GB2312" w:eastAsia="仿宋_GB2312" w:cs="仿宋_GB2312"/>
        </w:rPr>
      </w:pPr>
    </w:p>
    <w:p w14:paraId="4EFD6BF6">
      <w:pPr>
        <w:pStyle w:val="11"/>
        <w:jc w:val="left"/>
        <w:rPr>
          <w:rFonts w:hint="eastAsia" w:eastAsia="仿宋_GB2312"/>
          <w:lang w:eastAsia="zh-CN"/>
        </w:rPr>
      </w:pPr>
      <w:r>
        <w:rPr>
          <w:rFonts w:ascii="仿宋_GB2312" w:hAnsi="仿宋_GB2312" w:eastAsia="仿宋_GB2312" w:cs="仿宋_GB2312"/>
        </w:rPr>
        <w:t>附件1</w:t>
      </w:r>
      <w:r>
        <w:rPr>
          <w:rFonts w:hint="eastAsia" w:ascii="仿宋_GB2312" w:hAnsi="仿宋_GB2312" w:eastAsia="仿宋_GB2312" w:cs="仿宋_GB2312"/>
          <w:lang w:eastAsia="zh-CN"/>
        </w:rPr>
        <w:t>：</w:t>
      </w:r>
    </w:p>
    <w:p w14:paraId="5CDA6292">
      <w:pPr>
        <w:pStyle w:val="11"/>
        <w:jc w:val="center"/>
      </w:pPr>
      <w:r>
        <w:rPr>
          <w:rFonts w:ascii="仿宋_GB2312" w:hAnsi="仿宋_GB2312" w:eastAsia="仿宋_GB2312" w:cs="仿宋_GB2312"/>
          <w:b/>
        </w:rPr>
        <w:t>委托代理协议</w:t>
      </w:r>
    </w:p>
    <w:p w14:paraId="4648698C">
      <w:pPr>
        <w:pStyle w:val="11"/>
        <w:ind w:firstLine="480"/>
        <w:jc w:val="left"/>
      </w:pPr>
      <w:r>
        <w:rPr>
          <w:rFonts w:ascii="仿宋_GB2312" w:hAnsi="仿宋_GB2312" w:eastAsia="仿宋_GB2312" w:cs="仿宋_GB2312"/>
        </w:rPr>
        <w:t>本单位为深圳公共资源交易中心组织的项目编号： ，项目名称： 项目的入围供应商，入围包号为1、2、*包，本单位现委托以下代理商，在深圳政府采购业务框架协议采购系统上架入围产品，代表本单位接受采购人合同授予，并履行采购合同。</w:t>
      </w:r>
    </w:p>
    <w:p w14:paraId="22CD686C">
      <w:pPr>
        <w:pStyle w:val="11"/>
        <w:ind w:firstLine="480"/>
        <w:jc w:val="left"/>
      </w:pPr>
      <w:r>
        <w:rPr>
          <w:rFonts w:ascii="仿宋_GB2312" w:hAnsi="仿宋_GB2312" w:eastAsia="仿宋_GB2312" w:cs="仿宋_GB2312"/>
        </w:rPr>
        <w:t>本单位将严格管理代理商，把控好商品价格及服务，严格按照相关规则执行，代理商行为的法律后果由本单位和厂家承担连带责任。</w:t>
      </w:r>
    </w:p>
    <w:p w14:paraId="29FC5C8A">
      <w:pPr>
        <w:pStyle w:val="11"/>
        <w:ind w:firstLine="480"/>
        <w:jc w:val="left"/>
      </w:pPr>
      <w:r>
        <w:rPr>
          <w:rFonts w:ascii="仿宋_GB2312" w:hAnsi="仿宋_GB2312" w:eastAsia="仿宋_GB2312" w:cs="仿宋_GB2312"/>
        </w:rPr>
        <w:t>委托代理商名单详见下表。</w:t>
      </w:r>
    </w:p>
    <w:p w14:paraId="09F2C52B">
      <w:pPr>
        <w:widowControl/>
        <w:pBdr>
          <w:top w:val="none" w:color="000000" w:sz="0" w:space="0"/>
          <w:left w:val="none" w:color="000000" w:sz="0" w:space="0"/>
          <w:bottom w:val="none" w:color="000000" w:sz="0" w:space="0"/>
          <w:right w:val="none" w:color="000000" w:sz="0" w:space="0"/>
        </w:pBdr>
        <w:spacing w:line="559" w:lineRule="atLeast"/>
        <w:jc w:val="center"/>
        <w:rPr>
          <w:rFonts w:hint="eastAsia" w:ascii="宋体" w:hAnsi="宋体" w:eastAsia="宋体" w:cs="Times New Roman"/>
          <w:szCs w:val="21"/>
        </w:rPr>
      </w:pPr>
    </w:p>
    <w:p w14:paraId="4F929C0A">
      <w:pPr>
        <w:widowControl/>
        <w:pBdr>
          <w:top w:val="none" w:color="000000" w:sz="0" w:space="0"/>
          <w:left w:val="none" w:color="000000" w:sz="0" w:space="0"/>
          <w:bottom w:val="none" w:color="000000" w:sz="0" w:space="0"/>
          <w:right w:val="none" w:color="000000" w:sz="0" w:space="0"/>
        </w:pBdr>
        <w:spacing w:line="559" w:lineRule="atLeast"/>
        <w:jc w:val="center"/>
        <w:rPr>
          <w:rFonts w:ascii="宋体" w:hAnsi="宋体" w:eastAsia="宋体" w:cs="宋体"/>
          <w:szCs w:val="21"/>
        </w:rPr>
      </w:pPr>
      <w:r>
        <w:rPr>
          <w:rFonts w:hint="eastAsia" w:ascii="宋体" w:hAnsi="宋体" w:eastAsia="宋体" w:cs="Times New Roman"/>
          <w:szCs w:val="21"/>
        </w:rPr>
        <w:t>委托代理商名单</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1704"/>
        <w:gridCol w:w="1704"/>
        <w:gridCol w:w="1705"/>
        <w:gridCol w:w="1705"/>
      </w:tblGrid>
      <w:tr w14:paraId="35898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999" w:type="pct"/>
            <w:noWrap w:val="0"/>
            <w:vAlign w:val="center"/>
          </w:tcPr>
          <w:p w14:paraId="48EC635C">
            <w:pPr>
              <w:widowControl/>
              <w:pBdr>
                <w:top w:val="none" w:color="000000" w:sz="0" w:space="0"/>
                <w:left w:val="none" w:color="000000" w:sz="0" w:space="0"/>
                <w:bottom w:val="none" w:color="000000" w:sz="0" w:space="0"/>
                <w:right w:val="none" w:color="000000" w:sz="0" w:space="0"/>
              </w:pBdr>
              <w:spacing w:line="85" w:lineRule="atLeast"/>
              <w:jc w:val="center"/>
              <w:rPr>
                <w:rFonts w:hint="eastAsia" w:ascii="仿宋_GB2312" w:hAnsi="仿宋_GB2312" w:eastAsia="仿宋_GB2312" w:cs="仿宋_GB2312"/>
                <w:sz w:val="20"/>
                <w:szCs w:val="20"/>
                <w:lang w:val="en-US" w:eastAsia="zh-CN" w:bidi="ar-SA"/>
              </w:rPr>
            </w:pPr>
            <w:r>
              <w:rPr>
                <w:rFonts w:hint="eastAsia" w:ascii="仿宋_GB2312" w:hAnsi="仿宋_GB2312" w:eastAsia="仿宋_GB2312" w:cs="仿宋_GB2312"/>
                <w:sz w:val="20"/>
                <w:szCs w:val="20"/>
              </w:rPr>
              <w:t>序号</w:t>
            </w:r>
          </w:p>
        </w:tc>
        <w:tc>
          <w:tcPr>
            <w:tcW w:w="999" w:type="pct"/>
            <w:noWrap w:val="0"/>
            <w:vAlign w:val="center"/>
          </w:tcPr>
          <w:p w14:paraId="52516931">
            <w:pPr>
              <w:widowControl/>
              <w:pBdr>
                <w:top w:val="none" w:color="000000" w:sz="0" w:space="0"/>
                <w:left w:val="none" w:color="000000" w:sz="0" w:space="0"/>
                <w:bottom w:val="none" w:color="000000" w:sz="0" w:space="0"/>
                <w:right w:val="none" w:color="000000" w:sz="0" w:space="0"/>
              </w:pBdr>
              <w:spacing w:line="85" w:lineRule="atLeast"/>
              <w:jc w:val="center"/>
              <w:rPr>
                <w:rFonts w:hint="eastAsia" w:ascii="仿宋_GB2312" w:hAnsi="仿宋_GB2312" w:eastAsia="仿宋_GB2312" w:cs="仿宋_GB2312"/>
                <w:sz w:val="20"/>
                <w:szCs w:val="20"/>
                <w:lang w:val="en-US" w:eastAsia="zh-CN" w:bidi="ar-SA"/>
              </w:rPr>
            </w:pPr>
            <w:r>
              <w:rPr>
                <w:rFonts w:hint="eastAsia" w:ascii="仿宋_GB2312" w:hAnsi="仿宋_GB2312" w:eastAsia="仿宋_GB2312" w:cs="仿宋_GB2312"/>
                <w:sz w:val="20"/>
                <w:szCs w:val="20"/>
              </w:rPr>
              <w:t>代理商名称</w:t>
            </w:r>
          </w:p>
        </w:tc>
        <w:tc>
          <w:tcPr>
            <w:tcW w:w="999" w:type="pct"/>
            <w:noWrap w:val="0"/>
            <w:vAlign w:val="center"/>
          </w:tcPr>
          <w:p w14:paraId="697FDB39">
            <w:pPr>
              <w:widowControl/>
              <w:pBdr>
                <w:top w:val="none" w:color="000000" w:sz="0" w:space="0"/>
                <w:left w:val="none" w:color="000000" w:sz="0" w:space="0"/>
                <w:bottom w:val="none" w:color="000000" w:sz="0" w:space="0"/>
                <w:right w:val="none" w:color="000000" w:sz="0" w:space="0"/>
              </w:pBdr>
              <w:spacing w:line="85" w:lineRule="atLeast"/>
              <w:jc w:val="center"/>
              <w:rPr>
                <w:rFonts w:hint="eastAsia" w:ascii="仿宋_GB2312" w:hAnsi="仿宋_GB2312" w:eastAsia="仿宋_GB2312" w:cs="仿宋_GB2312"/>
                <w:sz w:val="20"/>
                <w:szCs w:val="20"/>
                <w:lang w:val="en-US" w:eastAsia="zh-CN" w:bidi="ar-SA"/>
              </w:rPr>
            </w:pPr>
            <w:r>
              <w:rPr>
                <w:rFonts w:hint="eastAsia" w:ascii="仿宋_GB2312" w:hAnsi="仿宋_GB2312" w:eastAsia="仿宋_GB2312" w:cs="仿宋_GB2312"/>
                <w:sz w:val="20"/>
                <w:szCs w:val="20"/>
              </w:rPr>
              <w:t>详细地址</w:t>
            </w:r>
          </w:p>
        </w:tc>
        <w:tc>
          <w:tcPr>
            <w:tcW w:w="1000" w:type="pct"/>
            <w:noWrap w:val="0"/>
            <w:vAlign w:val="center"/>
          </w:tcPr>
          <w:p w14:paraId="65276D4D">
            <w:pPr>
              <w:widowControl/>
              <w:pBdr>
                <w:top w:val="none" w:color="000000" w:sz="0" w:space="0"/>
                <w:left w:val="none" w:color="000000" w:sz="0" w:space="0"/>
                <w:bottom w:val="none" w:color="000000" w:sz="0" w:space="0"/>
                <w:right w:val="none" w:color="000000" w:sz="0" w:space="0"/>
              </w:pBdr>
              <w:spacing w:line="85" w:lineRule="atLeas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联系人</w:t>
            </w:r>
          </w:p>
        </w:tc>
        <w:tc>
          <w:tcPr>
            <w:tcW w:w="1000" w:type="pct"/>
            <w:noWrap w:val="0"/>
            <w:vAlign w:val="center"/>
          </w:tcPr>
          <w:p w14:paraId="2D7CF4B6">
            <w:pPr>
              <w:widowControl/>
              <w:pBdr>
                <w:top w:val="none" w:color="000000" w:sz="0" w:space="0"/>
                <w:left w:val="none" w:color="000000" w:sz="0" w:space="0"/>
                <w:bottom w:val="none" w:color="000000" w:sz="0" w:space="0"/>
                <w:right w:val="none" w:color="000000" w:sz="0" w:space="0"/>
              </w:pBdr>
              <w:spacing w:line="85" w:lineRule="atLeas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联系电话</w:t>
            </w:r>
          </w:p>
        </w:tc>
      </w:tr>
      <w:tr w14:paraId="32AA2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pct"/>
            <w:noWrap w:val="0"/>
            <w:vAlign w:val="center"/>
          </w:tcPr>
          <w:p w14:paraId="66461FF2">
            <w:pPr>
              <w:widowControl/>
              <w:spacing w:line="559" w:lineRule="atLeast"/>
              <w:jc w:val="center"/>
              <w:rPr>
                <w:rFonts w:hint="eastAsia" w:ascii="仿宋_GB2312" w:hAnsi="仿宋_GB2312" w:eastAsia="仿宋_GB2312" w:cs="仿宋_GB2312"/>
                <w:sz w:val="20"/>
                <w:szCs w:val="20"/>
                <w:vertAlign w:val="baseline"/>
                <w:lang w:val="en-US" w:eastAsia="zh-CN"/>
              </w:rPr>
            </w:pPr>
            <w:r>
              <w:rPr>
                <w:rFonts w:hint="eastAsia" w:ascii="仿宋_GB2312" w:hAnsi="仿宋_GB2312" w:eastAsia="仿宋_GB2312" w:cs="仿宋_GB2312"/>
                <w:sz w:val="20"/>
                <w:szCs w:val="20"/>
                <w:vertAlign w:val="baseline"/>
                <w:lang w:val="en-US" w:eastAsia="zh-CN"/>
              </w:rPr>
              <w:t>1</w:t>
            </w:r>
          </w:p>
        </w:tc>
        <w:tc>
          <w:tcPr>
            <w:tcW w:w="999" w:type="pct"/>
            <w:noWrap w:val="0"/>
            <w:vAlign w:val="center"/>
          </w:tcPr>
          <w:p w14:paraId="72EB0AA4">
            <w:pPr>
              <w:widowControl/>
              <w:spacing w:line="559" w:lineRule="atLeast"/>
              <w:jc w:val="center"/>
              <w:rPr>
                <w:rFonts w:hint="eastAsia" w:ascii="仿宋_GB2312" w:hAnsi="仿宋_GB2312" w:eastAsia="仿宋_GB2312" w:cs="仿宋_GB2312"/>
                <w:sz w:val="20"/>
                <w:szCs w:val="20"/>
                <w:vertAlign w:val="baseline"/>
              </w:rPr>
            </w:pPr>
          </w:p>
        </w:tc>
        <w:tc>
          <w:tcPr>
            <w:tcW w:w="999" w:type="pct"/>
            <w:noWrap w:val="0"/>
            <w:vAlign w:val="center"/>
          </w:tcPr>
          <w:p w14:paraId="67AB4334">
            <w:pPr>
              <w:widowControl/>
              <w:spacing w:line="559" w:lineRule="atLeast"/>
              <w:jc w:val="center"/>
              <w:rPr>
                <w:rFonts w:hint="eastAsia" w:ascii="仿宋_GB2312" w:hAnsi="仿宋_GB2312" w:eastAsia="仿宋_GB2312" w:cs="仿宋_GB2312"/>
                <w:sz w:val="20"/>
                <w:szCs w:val="20"/>
                <w:vertAlign w:val="baseline"/>
              </w:rPr>
            </w:pPr>
          </w:p>
        </w:tc>
        <w:tc>
          <w:tcPr>
            <w:tcW w:w="1000" w:type="pct"/>
            <w:noWrap w:val="0"/>
            <w:vAlign w:val="center"/>
          </w:tcPr>
          <w:p w14:paraId="71F9C26A">
            <w:pPr>
              <w:widowControl/>
              <w:spacing w:line="559" w:lineRule="atLeast"/>
              <w:jc w:val="center"/>
              <w:rPr>
                <w:rFonts w:hint="eastAsia" w:ascii="仿宋_GB2312" w:hAnsi="仿宋_GB2312" w:eastAsia="仿宋_GB2312" w:cs="仿宋_GB2312"/>
                <w:sz w:val="20"/>
                <w:szCs w:val="20"/>
                <w:vertAlign w:val="baseline"/>
              </w:rPr>
            </w:pPr>
          </w:p>
        </w:tc>
        <w:tc>
          <w:tcPr>
            <w:tcW w:w="1000" w:type="pct"/>
            <w:noWrap w:val="0"/>
            <w:vAlign w:val="center"/>
          </w:tcPr>
          <w:p w14:paraId="7DFD4748">
            <w:pPr>
              <w:widowControl/>
              <w:spacing w:line="559" w:lineRule="atLeast"/>
              <w:jc w:val="center"/>
              <w:rPr>
                <w:rFonts w:hint="eastAsia" w:ascii="仿宋_GB2312" w:hAnsi="仿宋_GB2312" w:eastAsia="仿宋_GB2312" w:cs="仿宋_GB2312"/>
                <w:sz w:val="20"/>
                <w:szCs w:val="20"/>
                <w:vertAlign w:val="baseline"/>
              </w:rPr>
            </w:pPr>
          </w:p>
        </w:tc>
      </w:tr>
      <w:tr w14:paraId="0E7DC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pct"/>
            <w:noWrap w:val="0"/>
            <w:vAlign w:val="center"/>
          </w:tcPr>
          <w:p w14:paraId="3F0A8E02">
            <w:pPr>
              <w:widowControl/>
              <w:spacing w:line="559" w:lineRule="atLeast"/>
              <w:jc w:val="center"/>
              <w:rPr>
                <w:rFonts w:hint="eastAsia" w:ascii="仿宋_GB2312" w:hAnsi="仿宋_GB2312" w:eastAsia="仿宋_GB2312" w:cs="仿宋_GB2312"/>
                <w:sz w:val="20"/>
                <w:szCs w:val="20"/>
                <w:vertAlign w:val="baseline"/>
                <w:lang w:val="en-US" w:eastAsia="zh-CN"/>
              </w:rPr>
            </w:pPr>
            <w:r>
              <w:rPr>
                <w:rFonts w:hint="eastAsia" w:ascii="仿宋_GB2312" w:hAnsi="仿宋_GB2312" w:eastAsia="仿宋_GB2312" w:cs="仿宋_GB2312"/>
                <w:sz w:val="20"/>
                <w:szCs w:val="20"/>
                <w:vertAlign w:val="baseline"/>
                <w:lang w:val="en-US" w:eastAsia="zh-CN"/>
              </w:rPr>
              <w:t>2</w:t>
            </w:r>
          </w:p>
        </w:tc>
        <w:tc>
          <w:tcPr>
            <w:tcW w:w="999" w:type="pct"/>
            <w:noWrap w:val="0"/>
            <w:vAlign w:val="center"/>
          </w:tcPr>
          <w:p w14:paraId="7BD72B0C">
            <w:pPr>
              <w:widowControl/>
              <w:spacing w:line="559" w:lineRule="atLeast"/>
              <w:jc w:val="center"/>
              <w:rPr>
                <w:rFonts w:hint="eastAsia" w:ascii="仿宋_GB2312" w:hAnsi="仿宋_GB2312" w:eastAsia="仿宋_GB2312" w:cs="仿宋_GB2312"/>
                <w:sz w:val="20"/>
                <w:szCs w:val="20"/>
                <w:vertAlign w:val="baseline"/>
              </w:rPr>
            </w:pPr>
          </w:p>
        </w:tc>
        <w:tc>
          <w:tcPr>
            <w:tcW w:w="999" w:type="pct"/>
            <w:noWrap w:val="0"/>
            <w:vAlign w:val="center"/>
          </w:tcPr>
          <w:p w14:paraId="631350F9">
            <w:pPr>
              <w:widowControl/>
              <w:spacing w:line="559" w:lineRule="atLeast"/>
              <w:jc w:val="center"/>
              <w:rPr>
                <w:rFonts w:hint="eastAsia" w:ascii="仿宋_GB2312" w:hAnsi="仿宋_GB2312" w:eastAsia="仿宋_GB2312" w:cs="仿宋_GB2312"/>
                <w:sz w:val="20"/>
                <w:szCs w:val="20"/>
                <w:vertAlign w:val="baseline"/>
              </w:rPr>
            </w:pPr>
          </w:p>
        </w:tc>
        <w:tc>
          <w:tcPr>
            <w:tcW w:w="1000" w:type="pct"/>
            <w:noWrap w:val="0"/>
            <w:vAlign w:val="center"/>
          </w:tcPr>
          <w:p w14:paraId="0103814C">
            <w:pPr>
              <w:widowControl/>
              <w:spacing w:line="559" w:lineRule="atLeast"/>
              <w:jc w:val="center"/>
              <w:rPr>
                <w:rFonts w:hint="eastAsia" w:ascii="仿宋_GB2312" w:hAnsi="仿宋_GB2312" w:eastAsia="仿宋_GB2312" w:cs="仿宋_GB2312"/>
                <w:sz w:val="20"/>
                <w:szCs w:val="20"/>
                <w:vertAlign w:val="baseline"/>
              </w:rPr>
            </w:pPr>
          </w:p>
        </w:tc>
        <w:tc>
          <w:tcPr>
            <w:tcW w:w="1000" w:type="pct"/>
            <w:noWrap w:val="0"/>
            <w:vAlign w:val="center"/>
          </w:tcPr>
          <w:p w14:paraId="5D068EC9">
            <w:pPr>
              <w:widowControl/>
              <w:spacing w:line="559" w:lineRule="atLeast"/>
              <w:jc w:val="center"/>
              <w:rPr>
                <w:rFonts w:hint="eastAsia" w:ascii="仿宋_GB2312" w:hAnsi="仿宋_GB2312" w:eastAsia="仿宋_GB2312" w:cs="仿宋_GB2312"/>
                <w:sz w:val="20"/>
                <w:szCs w:val="20"/>
                <w:vertAlign w:val="baseline"/>
              </w:rPr>
            </w:pPr>
          </w:p>
        </w:tc>
      </w:tr>
      <w:tr w14:paraId="54314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pct"/>
            <w:noWrap w:val="0"/>
            <w:vAlign w:val="center"/>
          </w:tcPr>
          <w:p w14:paraId="63CE2397">
            <w:pPr>
              <w:widowControl/>
              <w:spacing w:line="559" w:lineRule="atLeast"/>
              <w:jc w:val="center"/>
              <w:rPr>
                <w:rFonts w:hint="eastAsia" w:ascii="仿宋_GB2312" w:hAnsi="仿宋_GB2312" w:eastAsia="仿宋_GB2312" w:cs="仿宋_GB2312"/>
                <w:sz w:val="20"/>
                <w:szCs w:val="20"/>
                <w:vertAlign w:val="baseline"/>
                <w:lang w:val="en-US" w:eastAsia="zh-CN"/>
              </w:rPr>
            </w:pPr>
            <w:r>
              <w:rPr>
                <w:rFonts w:hint="eastAsia" w:ascii="仿宋_GB2312" w:hAnsi="仿宋_GB2312" w:eastAsia="仿宋_GB2312" w:cs="仿宋_GB2312"/>
                <w:sz w:val="20"/>
                <w:szCs w:val="20"/>
                <w:vertAlign w:val="baseline"/>
                <w:lang w:val="en-US" w:eastAsia="zh-CN"/>
              </w:rPr>
              <w:t>......</w:t>
            </w:r>
          </w:p>
        </w:tc>
        <w:tc>
          <w:tcPr>
            <w:tcW w:w="999" w:type="pct"/>
            <w:noWrap w:val="0"/>
            <w:vAlign w:val="center"/>
          </w:tcPr>
          <w:p w14:paraId="7BFC515E">
            <w:pPr>
              <w:widowControl/>
              <w:spacing w:line="559" w:lineRule="atLeast"/>
              <w:jc w:val="center"/>
              <w:rPr>
                <w:rFonts w:hint="eastAsia" w:ascii="仿宋_GB2312" w:hAnsi="仿宋_GB2312" w:eastAsia="仿宋_GB2312" w:cs="仿宋_GB2312"/>
                <w:sz w:val="20"/>
                <w:szCs w:val="20"/>
                <w:vertAlign w:val="baseline"/>
              </w:rPr>
            </w:pPr>
          </w:p>
        </w:tc>
        <w:tc>
          <w:tcPr>
            <w:tcW w:w="999" w:type="pct"/>
            <w:noWrap w:val="0"/>
            <w:vAlign w:val="center"/>
          </w:tcPr>
          <w:p w14:paraId="16157C33">
            <w:pPr>
              <w:widowControl/>
              <w:spacing w:line="559" w:lineRule="atLeast"/>
              <w:jc w:val="center"/>
              <w:rPr>
                <w:rFonts w:hint="eastAsia" w:ascii="仿宋_GB2312" w:hAnsi="仿宋_GB2312" w:eastAsia="仿宋_GB2312" w:cs="仿宋_GB2312"/>
                <w:sz w:val="20"/>
                <w:szCs w:val="20"/>
                <w:vertAlign w:val="baseline"/>
              </w:rPr>
            </w:pPr>
          </w:p>
        </w:tc>
        <w:tc>
          <w:tcPr>
            <w:tcW w:w="1000" w:type="pct"/>
            <w:noWrap w:val="0"/>
            <w:vAlign w:val="center"/>
          </w:tcPr>
          <w:p w14:paraId="417A95E4">
            <w:pPr>
              <w:widowControl/>
              <w:spacing w:line="559" w:lineRule="atLeast"/>
              <w:jc w:val="center"/>
              <w:rPr>
                <w:rFonts w:hint="eastAsia" w:ascii="仿宋_GB2312" w:hAnsi="仿宋_GB2312" w:eastAsia="仿宋_GB2312" w:cs="仿宋_GB2312"/>
                <w:sz w:val="20"/>
                <w:szCs w:val="20"/>
                <w:vertAlign w:val="baseline"/>
              </w:rPr>
            </w:pPr>
          </w:p>
        </w:tc>
        <w:tc>
          <w:tcPr>
            <w:tcW w:w="1000" w:type="pct"/>
            <w:noWrap w:val="0"/>
            <w:vAlign w:val="center"/>
          </w:tcPr>
          <w:p w14:paraId="145E8A66">
            <w:pPr>
              <w:widowControl/>
              <w:spacing w:line="559" w:lineRule="atLeast"/>
              <w:jc w:val="center"/>
              <w:rPr>
                <w:rFonts w:hint="eastAsia" w:ascii="仿宋_GB2312" w:hAnsi="仿宋_GB2312" w:eastAsia="仿宋_GB2312" w:cs="仿宋_GB2312"/>
                <w:sz w:val="20"/>
                <w:szCs w:val="20"/>
                <w:vertAlign w:val="baseline"/>
              </w:rPr>
            </w:pPr>
          </w:p>
        </w:tc>
      </w:tr>
    </w:tbl>
    <w:p w14:paraId="3F162353">
      <w:pPr>
        <w:pStyle w:val="11"/>
        <w:ind w:firstLine="960"/>
        <w:jc w:val="right"/>
      </w:pPr>
      <w:r>
        <w:rPr>
          <w:rFonts w:hint="eastAsia" w:ascii="仿宋_GB2312" w:hAnsi="仿宋_GB2312" w:eastAsia="仿宋_GB2312" w:cs="仿宋_GB2312"/>
          <w:lang w:val="en-US" w:eastAsia="zh-CN"/>
        </w:rPr>
        <w:t>入围</w:t>
      </w:r>
      <w:r>
        <w:rPr>
          <w:rFonts w:ascii="仿宋_GB2312" w:hAnsi="仿宋_GB2312" w:eastAsia="仿宋_GB2312" w:cs="仿宋_GB2312"/>
        </w:rPr>
        <w:t>供应商全称（公章）：</w:t>
      </w:r>
    </w:p>
    <w:p w14:paraId="49066980">
      <w:pPr>
        <w:pStyle w:val="11"/>
        <w:ind w:firstLine="960"/>
        <w:jc w:val="right"/>
      </w:pPr>
      <w:r>
        <w:rPr>
          <w:rFonts w:ascii="仿宋_GB2312" w:hAnsi="仿宋_GB2312" w:eastAsia="仿宋_GB2312" w:cs="仿宋_GB2312"/>
        </w:rPr>
        <w:t>日期： 年 月 日</w:t>
      </w:r>
    </w:p>
    <w:p w14:paraId="1216F9CF">
      <w:pPr>
        <w:pStyle w:val="11"/>
        <w:jc w:val="left"/>
        <w:rPr>
          <w:rFonts w:ascii="仿宋_GB2312" w:hAnsi="仿宋_GB2312" w:eastAsia="仿宋_GB2312" w:cs="仿宋_GB2312"/>
        </w:rPr>
      </w:pPr>
    </w:p>
    <w:p w14:paraId="21AE27A9">
      <w:pPr>
        <w:pStyle w:val="11"/>
        <w:jc w:val="left"/>
        <w:rPr>
          <w:rFonts w:ascii="仿宋_GB2312" w:hAnsi="仿宋_GB2312" w:eastAsia="仿宋_GB2312" w:cs="仿宋_GB2312"/>
        </w:rPr>
      </w:pPr>
    </w:p>
    <w:p w14:paraId="7925EB49">
      <w:pPr>
        <w:pStyle w:val="11"/>
        <w:jc w:val="left"/>
        <w:rPr>
          <w:rFonts w:ascii="仿宋_GB2312" w:hAnsi="仿宋_GB2312" w:eastAsia="仿宋_GB2312" w:cs="仿宋_GB2312"/>
        </w:rPr>
      </w:pPr>
    </w:p>
    <w:p w14:paraId="4574A2EF">
      <w:pPr>
        <w:pStyle w:val="11"/>
        <w:jc w:val="left"/>
        <w:rPr>
          <w:rFonts w:ascii="仿宋_GB2312" w:hAnsi="仿宋_GB2312" w:eastAsia="仿宋_GB2312" w:cs="仿宋_GB2312"/>
        </w:rPr>
      </w:pPr>
    </w:p>
    <w:p w14:paraId="6ED2A204">
      <w:pPr>
        <w:pStyle w:val="11"/>
        <w:jc w:val="left"/>
        <w:rPr>
          <w:rFonts w:ascii="仿宋_GB2312" w:hAnsi="仿宋_GB2312" w:eastAsia="仿宋_GB2312" w:cs="仿宋_GB2312"/>
        </w:rPr>
      </w:pPr>
    </w:p>
    <w:p w14:paraId="2824ED5B">
      <w:pPr>
        <w:pStyle w:val="11"/>
        <w:jc w:val="left"/>
        <w:rPr>
          <w:rFonts w:ascii="仿宋_GB2312" w:hAnsi="仿宋_GB2312" w:eastAsia="仿宋_GB2312" w:cs="仿宋_GB2312"/>
        </w:rPr>
      </w:pPr>
    </w:p>
    <w:p w14:paraId="6C2C6520">
      <w:pPr>
        <w:pStyle w:val="11"/>
        <w:jc w:val="left"/>
        <w:rPr>
          <w:rFonts w:ascii="仿宋_GB2312" w:hAnsi="仿宋_GB2312" w:eastAsia="仿宋_GB2312" w:cs="仿宋_GB2312"/>
        </w:rPr>
      </w:pPr>
    </w:p>
    <w:p w14:paraId="1690099E">
      <w:pPr>
        <w:pStyle w:val="11"/>
        <w:jc w:val="left"/>
        <w:rPr>
          <w:rFonts w:ascii="仿宋_GB2312" w:hAnsi="仿宋_GB2312" w:eastAsia="仿宋_GB2312" w:cs="仿宋_GB2312"/>
        </w:rPr>
      </w:pPr>
    </w:p>
    <w:p w14:paraId="772A28E5">
      <w:pPr>
        <w:pStyle w:val="11"/>
        <w:jc w:val="left"/>
        <w:rPr>
          <w:rFonts w:hint="eastAsia" w:eastAsia="仿宋_GB2312"/>
          <w:lang w:eastAsia="zh-CN"/>
        </w:rPr>
      </w:pPr>
      <w:r>
        <w:rPr>
          <w:rFonts w:ascii="仿宋_GB2312" w:hAnsi="仿宋_GB2312" w:eastAsia="仿宋_GB2312" w:cs="仿宋_GB2312"/>
        </w:rPr>
        <w:t>附件2</w:t>
      </w:r>
      <w:r>
        <w:rPr>
          <w:rFonts w:hint="eastAsia" w:ascii="仿宋_GB2312" w:hAnsi="仿宋_GB2312" w:eastAsia="仿宋_GB2312" w:cs="仿宋_GB2312"/>
          <w:lang w:eastAsia="zh-CN"/>
        </w:rPr>
        <w:t>：</w:t>
      </w:r>
    </w:p>
    <w:p w14:paraId="578CF798">
      <w:pPr>
        <w:pStyle w:val="11"/>
        <w:spacing w:after="120" w:line="540" w:lineRule="exact"/>
        <w:ind w:firstLine="480"/>
        <w:jc w:val="center"/>
      </w:pPr>
      <w:r>
        <w:rPr>
          <w:rFonts w:ascii="仿宋_GB2312" w:hAnsi="仿宋_GB2312" w:eastAsia="仿宋_GB2312" w:cs="仿宋_GB2312"/>
          <w:sz w:val="21"/>
        </w:rPr>
        <w:t>采购合同</w:t>
      </w:r>
    </w:p>
    <w:p w14:paraId="27982832">
      <w:pPr>
        <w:pStyle w:val="11"/>
        <w:spacing w:line="615" w:lineRule="exact"/>
        <w:ind w:firstLine="420"/>
        <w:jc w:val="left"/>
      </w:pPr>
      <w:r>
        <w:rPr>
          <w:rFonts w:ascii="仿宋_GB2312" w:hAnsi="仿宋_GB2312" w:eastAsia="仿宋_GB2312" w:cs="仿宋_GB2312"/>
          <w:sz w:val="21"/>
        </w:rPr>
        <w:t>合同编号：</w:t>
      </w:r>
    </w:p>
    <w:p w14:paraId="5A28C9C7">
      <w:pPr>
        <w:pStyle w:val="11"/>
        <w:spacing w:line="615" w:lineRule="exact"/>
        <w:ind w:firstLine="420"/>
        <w:jc w:val="left"/>
      </w:pPr>
      <w:r>
        <w:rPr>
          <w:rFonts w:ascii="仿宋_GB2312" w:hAnsi="仿宋_GB2312" w:eastAsia="仿宋_GB2312" w:cs="仿宋_GB2312"/>
          <w:sz w:val="21"/>
        </w:rPr>
        <w:t>订单编号：</w:t>
      </w:r>
    </w:p>
    <w:p w14:paraId="2EA8A4F3">
      <w:pPr>
        <w:pStyle w:val="11"/>
        <w:spacing w:line="615" w:lineRule="exact"/>
        <w:ind w:firstLine="420"/>
        <w:jc w:val="left"/>
      </w:pPr>
      <w:r>
        <w:rPr>
          <w:rFonts w:ascii="仿宋_GB2312" w:hAnsi="仿宋_GB2312" w:eastAsia="仿宋_GB2312" w:cs="仿宋_GB2312"/>
          <w:sz w:val="21"/>
        </w:rPr>
        <w:t>甲方：</w:t>
      </w:r>
      <w:r>
        <w:rPr>
          <w:rFonts w:hint="eastAsia" w:ascii="仿宋_GB2312" w:hAnsi="仿宋_GB2312" w:eastAsia="仿宋_GB2312" w:cs="仿宋_GB2312"/>
          <w:sz w:val="21"/>
          <w:u w:val="single"/>
          <w:lang w:val="en-US" w:eastAsia="zh-CN"/>
        </w:rPr>
        <w:t xml:space="preserve">                </w:t>
      </w:r>
      <w:r>
        <w:rPr>
          <w:rFonts w:ascii="仿宋_GB2312" w:hAnsi="仿宋_GB2312" w:eastAsia="仿宋_GB2312" w:cs="仿宋_GB2312"/>
          <w:sz w:val="21"/>
        </w:rPr>
        <w:t>（采购人）</w:t>
      </w:r>
    </w:p>
    <w:p w14:paraId="1A6F388E">
      <w:pPr>
        <w:pStyle w:val="11"/>
        <w:spacing w:line="615" w:lineRule="exact"/>
        <w:ind w:firstLine="420"/>
        <w:jc w:val="left"/>
      </w:pPr>
      <w:r>
        <w:rPr>
          <w:rFonts w:ascii="仿宋_GB2312" w:hAnsi="仿宋_GB2312" w:eastAsia="仿宋_GB2312" w:cs="仿宋_GB2312"/>
          <w:sz w:val="21"/>
        </w:rPr>
        <w:t>乙方：</w:t>
      </w:r>
      <w:r>
        <w:rPr>
          <w:rFonts w:hint="eastAsia" w:ascii="仿宋_GB2312" w:hAnsi="仿宋_GB2312" w:eastAsia="仿宋_GB2312" w:cs="仿宋_GB2312"/>
          <w:sz w:val="21"/>
          <w:u w:val="single"/>
          <w:lang w:val="en-US" w:eastAsia="zh-CN"/>
        </w:rPr>
        <w:t xml:space="preserve">                 </w:t>
      </w:r>
      <w:r>
        <w:rPr>
          <w:rFonts w:ascii="仿宋_GB2312" w:hAnsi="仿宋_GB2312" w:eastAsia="仿宋_GB2312" w:cs="仿宋_GB2312"/>
          <w:sz w:val="21"/>
        </w:rPr>
        <w:t>（成交供应商）</w:t>
      </w:r>
    </w:p>
    <w:p w14:paraId="10343379">
      <w:pPr>
        <w:pStyle w:val="11"/>
        <w:spacing w:line="615" w:lineRule="exact"/>
        <w:ind w:firstLine="420"/>
        <w:jc w:val="left"/>
      </w:pPr>
      <w:r>
        <w:rPr>
          <w:rFonts w:ascii="仿宋_GB2312" w:hAnsi="仿宋_GB2312" w:eastAsia="仿宋_GB2312" w:cs="仿宋_GB2312"/>
          <w:sz w:val="21"/>
        </w:rPr>
        <w:t>为了保护甲乙双方合法权益，根据《中华人民共和国政府采购法》《中华人民共和国民法典》《中华人民共和国消费者权益保护法》《深圳经济特区政府采购条例》等相关法律法规规定，签订本合同，并共同遵守执行。</w:t>
      </w:r>
    </w:p>
    <w:p w14:paraId="2FC359E2">
      <w:pPr>
        <w:pStyle w:val="11"/>
        <w:spacing w:line="615" w:lineRule="exact"/>
        <w:ind w:firstLine="420"/>
        <w:jc w:val="left"/>
      </w:pPr>
      <w:r>
        <w:rPr>
          <w:rFonts w:ascii="仿宋_GB2312" w:hAnsi="仿宋_GB2312" w:eastAsia="仿宋_GB2312" w:cs="仿宋_GB2312"/>
          <w:b/>
          <w:sz w:val="21"/>
        </w:rPr>
        <w:t>一、合同标的</w:t>
      </w:r>
    </w:p>
    <w:tbl>
      <w:tblPr>
        <w:tblStyle w:val="7"/>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1038"/>
        <w:gridCol w:w="1038"/>
        <w:gridCol w:w="1038"/>
        <w:gridCol w:w="1038"/>
        <w:gridCol w:w="1038"/>
        <w:gridCol w:w="1038"/>
        <w:gridCol w:w="1038"/>
      </w:tblGrid>
      <w:tr w14:paraId="078741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F4A6ECD">
            <w:pPr>
              <w:pStyle w:val="11"/>
              <w:jc w:val="left"/>
            </w:pPr>
            <w:r>
              <w:rPr>
                <w:rFonts w:ascii="仿宋_GB2312" w:hAnsi="仿宋_GB2312" w:eastAsia="仿宋_GB2312" w:cs="仿宋_GB2312"/>
              </w:rPr>
              <w:t>货物名称</w:t>
            </w:r>
          </w:p>
        </w:tc>
        <w:tc>
          <w:tcPr>
            <w:tcW w:w="1038" w:type="dxa"/>
          </w:tcPr>
          <w:p w14:paraId="64902B7E">
            <w:pPr>
              <w:pStyle w:val="11"/>
              <w:jc w:val="left"/>
            </w:pPr>
            <w:r>
              <w:rPr>
                <w:rFonts w:ascii="仿宋_GB2312" w:hAnsi="仿宋_GB2312" w:eastAsia="仿宋_GB2312" w:cs="仿宋_GB2312"/>
              </w:rPr>
              <w:t>品牌</w:t>
            </w:r>
          </w:p>
        </w:tc>
        <w:tc>
          <w:tcPr>
            <w:tcW w:w="1038" w:type="dxa"/>
          </w:tcPr>
          <w:p w14:paraId="17617786">
            <w:pPr>
              <w:pStyle w:val="11"/>
              <w:jc w:val="left"/>
            </w:pPr>
            <w:r>
              <w:rPr>
                <w:rFonts w:ascii="仿宋_GB2312" w:hAnsi="仿宋_GB2312" w:eastAsia="仿宋_GB2312" w:cs="仿宋_GB2312"/>
              </w:rPr>
              <w:t>型号</w:t>
            </w:r>
          </w:p>
        </w:tc>
        <w:tc>
          <w:tcPr>
            <w:tcW w:w="1038" w:type="dxa"/>
          </w:tcPr>
          <w:p w14:paraId="03E57A69">
            <w:pPr>
              <w:pStyle w:val="11"/>
              <w:jc w:val="left"/>
            </w:pPr>
            <w:r>
              <w:rPr>
                <w:rFonts w:ascii="仿宋_GB2312" w:hAnsi="仿宋_GB2312" w:eastAsia="仿宋_GB2312" w:cs="仿宋_GB2312"/>
              </w:rPr>
              <w:t>货物编号</w:t>
            </w:r>
          </w:p>
        </w:tc>
        <w:tc>
          <w:tcPr>
            <w:tcW w:w="1038" w:type="dxa"/>
          </w:tcPr>
          <w:p w14:paraId="7D3D5A56">
            <w:pPr>
              <w:pStyle w:val="11"/>
              <w:jc w:val="left"/>
            </w:pPr>
            <w:r>
              <w:rPr>
                <w:rFonts w:ascii="仿宋_GB2312" w:hAnsi="仿宋_GB2312" w:eastAsia="仿宋_GB2312" w:cs="仿宋_GB2312"/>
              </w:rPr>
              <w:t>计量单位</w:t>
            </w:r>
          </w:p>
        </w:tc>
        <w:tc>
          <w:tcPr>
            <w:tcW w:w="1038" w:type="dxa"/>
          </w:tcPr>
          <w:p w14:paraId="7E5ABFB1">
            <w:pPr>
              <w:pStyle w:val="11"/>
              <w:jc w:val="left"/>
            </w:pPr>
            <w:r>
              <w:rPr>
                <w:rFonts w:ascii="仿宋_GB2312" w:hAnsi="仿宋_GB2312" w:eastAsia="仿宋_GB2312" w:cs="仿宋_GB2312"/>
              </w:rPr>
              <w:t>数量</w:t>
            </w:r>
          </w:p>
        </w:tc>
        <w:tc>
          <w:tcPr>
            <w:tcW w:w="1038" w:type="dxa"/>
          </w:tcPr>
          <w:p w14:paraId="3ED79E90">
            <w:pPr>
              <w:pStyle w:val="11"/>
              <w:jc w:val="left"/>
            </w:pPr>
            <w:r>
              <w:rPr>
                <w:rFonts w:ascii="仿宋_GB2312" w:hAnsi="仿宋_GB2312" w:eastAsia="仿宋_GB2312" w:cs="仿宋_GB2312"/>
              </w:rPr>
              <w:t>单价（元）</w:t>
            </w:r>
          </w:p>
        </w:tc>
        <w:tc>
          <w:tcPr>
            <w:tcW w:w="1038" w:type="dxa"/>
          </w:tcPr>
          <w:p w14:paraId="77D5D07A">
            <w:pPr>
              <w:pStyle w:val="11"/>
              <w:jc w:val="left"/>
            </w:pPr>
            <w:r>
              <w:rPr>
                <w:rFonts w:ascii="仿宋_GB2312" w:hAnsi="仿宋_GB2312" w:eastAsia="仿宋_GB2312" w:cs="仿宋_GB2312"/>
              </w:rPr>
              <w:t>合计</w:t>
            </w:r>
          </w:p>
        </w:tc>
      </w:tr>
      <w:tr w14:paraId="01C430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2B294778">
            <w:pPr>
              <w:pStyle w:val="11"/>
              <w:jc w:val="left"/>
            </w:pPr>
          </w:p>
        </w:tc>
        <w:tc>
          <w:tcPr>
            <w:tcW w:w="1038" w:type="dxa"/>
          </w:tcPr>
          <w:p w14:paraId="02B83417"/>
        </w:tc>
        <w:tc>
          <w:tcPr>
            <w:tcW w:w="1038" w:type="dxa"/>
          </w:tcPr>
          <w:p w14:paraId="2B9BC446"/>
        </w:tc>
        <w:tc>
          <w:tcPr>
            <w:tcW w:w="1038" w:type="dxa"/>
          </w:tcPr>
          <w:p w14:paraId="1CC5EC88"/>
        </w:tc>
        <w:tc>
          <w:tcPr>
            <w:tcW w:w="1038" w:type="dxa"/>
          </w:tcPr>
          <w:p w14:paraId="425D4F74"/>
        </w:tc>
        <w:tc>
          <w:tcPr>
            <w:tcW w:w="1038" w:type="dxa"/>
          </w:tcPr>
          <w:p w14:paraId="00AA510C"/>
        </w:tc>
        <w:tc>
          <w:tcPr>
            <w:tcW w:w="1038" w:type="dxa"/>
          </w:tcPr>
          <w:p w14:paraId="65CAA3E2"/>
        </w:tc>
        <w:tc>
          <w:tcPr>
            <w:tcW w:w="1038" w:type="dxa"/>
          </w:tcPr>
          <w:p w14:paraId="42D336EB"/>
        </w:tc>
      </w:tr>
      <w:tr w14:paraId="305744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A7549CA">
            <w:pPr>
              <w:pStyle w:val="11"/>
              <w:jc w:val="left"/>
            </w:pPr>
            <w:r>
              <w:rPr>
                <w:rFonts w:ascii="仿宋_GB2312" w:hAnsi="仿宋_GB2312" w:eastAsia="仿宋_GB2312" w:cs="仿宋_GB2312"/>
              </w:rPr>
              <w:t>合同金额</w:t>
            </w:r>
          </w:p>
        </w:tc>
        <w:tc>
          <w:tcPr>
            <w:tcW w:w="7266" w:type="dxa"/>
            <w:gridSpan w:val="7"/>
          </w:tcPr>
          <w:p w14:paraId="01122842"/>
        </w:tc>
      </w:tr>
    </w:tbl>
    <w:p w14:paraId="4DDD8D2B">
      <w:pPr>
        <w:pStyle w:val="11"/>
        <w:spacing w:line="615" w:lineRule="exact"/>
        <w:ind w:firstLine="420"/>
        <w:jc w:val="left"/>
      </w:pPr>
      <w:r>
        <w:rPr>
          <w:rFonts w:ascii="仿宋_GB2312" w:hAnsi="仿宋_GB2312" w:eastAsia="仿宋_GB2312" w:cs="仿宋_GB2312"/>
          <w:sz w:val="21"/>
        </w:rPr>
        <w:t>注：本合同以人民币（含税）进行结算。</w:t>
      </w:r>
    </w:p>
    <w:p w14:paraId="5E46082A">
      <w:pPr>
        <w:pStyle w:val="11"/>
        <w:spacing w:line="615" w:lineRule="exact"/>
        <w:ind w:firstLine="420"/>
        <w:jc w:val="left"/>
      </w:pPr>
      <w:r>
        <w:rPr>
          <w:rFonts w:ascii="仿宋_GB2312" w:hAnsi="仿宋_GB2312" w:eastAsia="仿宋_GB2312" w:cs="仿宋_GB2312"/>
          <w:b/>
          <w:sz w:val="21"/>
        </w:rPr>
        <w:t>二、交货时间、地点</w:t>
      </w:r>
    </w:p>
    <w:p w14:paraId="7CA3721D">
      <w:pPr>
        <w:pStyle w:val="11"/>
        <w:spacing w:line="600" w:lineRule="exact"/>
        <w:ind w:firstLine="420"/>
        <w:jc w:val="left"/>
      </w:pPr>
      <w:r>
        <w:rPr>
          <w:rFonts w:ascii="仿宋_GB2312" w:hAnsi="仿宋_GB2312" w:eastAsia="仿宋_GB2312" w:cs="仿宋_GB2312"/>
          <w:sz w:val="21"/>
        </w:rPr>
        <w:t>1.交货时间：乙方应当在甲方订单提交之日起7个工作日内完成交货。双方协商一致的除外。</w:t>
      </w:r>
    </w:p>
    <w:p w14:paraId="7A86289A">
      <w:pPr>
        <w:pStyle w:val="11"/>
        <w:spacing w:line="600" w:lineRule="exact"/>
        <w:ind w:firstLine="420"/>
        <w:jc w:val="left"/>
      </w:pPr>
      <w:r>
        <w:rPr>
          <w:rFonts w:ascii="仿宋_GB2312" w:hAnsi="仿宋_GB2312" w:eastAsia="仿宋_GB2312" w:cs="仿宋_GB2312"/>
          <w:sz w:val="21"/>
        </w:rPr>
        <w:t>2.交货地点：</w:t>
      </w:r>
      <w:r>
        <w:rPr>
          <w:rFonts w:hint="eastAsia" w:ascii="仿宋_GB2312" w:hAnsi="仿宋_GB2312" w:eastAsia="仿宋_GB2312" w:cs="仿宋_GB2312"/>
          <w:sz w:val="21"/>
          <w:u w:val="single"/>
          <w:lang w:val="en-US" w:eastAsia="zh-CN"/>
        </w:rPr>
        <w:t xml:space="preserve">                </w:t>
      </w:r>
      <w:r>
        <w:rPr>
          <w:rFonts w:ascii="仿宋_GB2312" w:hAnsi="仿宋_GB2312" w:eastAsia="仿宋_GB2312" w:cs="仿宋_GB2312"/>
          <w:sz w:val="21"/>
        </w:rPr>
        <w:t>。</w:t>
      </w:r>
    </w:p>
    <w:p w14:paraId="180979D6">
      <w:pPr>
        <w:pStyle w:val="11"/>
        <w:spacing w:line="600" w:lineRule="exact"/>
        <w:ind w:firstLine="420"/>
        <w:jc w:val="left"/>
      </w:pPr>
      <w:r>
        <w:rPr>
          <w:rFonts w:ascii="仿宋_GB2312" w:hAnsi="仿宋_GB2312" w:eastAsia="仿宋_GB2312" w:cs="仿宋_GB2312"/>
          <w:sz w:val="21"/>
        </w:rPr>
        <w:t>3.本合同项下的货物在甲方工作人员签字确认收到货物前的损毁、灭失等一切风险由乙方承担。</w:t>
      </w:r>
    </w:p>
    <w:p w14:paraId="12992D9E">
      <w:pPr>
        <w:pStyle w:val="11"/>
        <w:spacing w:line="600" w:lineRule="exact"/>
        <w:ind w:firstLine="420"/>
        <w:jc w:val="left"/>
      </w:pPr>
      <w:r>
        <w:rPr>
          <w:rFonts w:ascii="仿宋_GB2312" w:hAnsi="仿宋_GB2312" w:eastAsia="仿宋_GB2312" w:cs="仿宋_GB2312"/>
          <w:b/>
          <w:sz w:val="21"/>
        </w:rPr>
        <w:t>三、运输方式及费用</w:t>
      </w:r>
    </w:p>
    <w:p w14:paraId="079C1F43">
      <w:pPr>
        <w:pStyle w:val="11"/>
        <w:spacing w:line="600" w:lineRule="exact"/>
        <w:ind w:firstLine="420"/>
        <w:jc w:val="left"/>
      </w:pPr>
      <w:r>
        <w:rPr>
          <w:rFonts w:ascii="仿宋_GB2312" w:hAnsi="仿宋_GB2312" w:eastAsia="仿宋_GB2312" w:cs="仿宋_GB2312"/>
          <w:sz w:val="21"/>
        </w:rPr>
        <w:t>1.乙方送货上门。</w:t>
      </w:r>
    </w:p>
    <w:p w14:paraId="2F5B143F">
      <w:pPr>
        <w:pStyle w:val="11"/>
        <w:spacing w:line="600" w:lineRule="exact"/>
        <w:ind w:firstLine="420"/>
        <w:jc w:val="left"/>
      </w:pPr>
      <w:r>
        <w:rPr>
          <w:rFonts w:ascii="仿宋_GB2312" w:hAnsi="仿宋_GB2312" w:eastAsia="仿宋_GB2312" w:cs="仿宋_GB2312"/>
          <w:sz w:val="21"/>
        </w:rPr>
        <w:t>2.运输费用由乙方负担。</w:t>
      </w:r>
    </w:p>
    <w:p w14:paraId="59E42240">
      <w:pPr>
        <w:pStyle w:val="11"/>
        <w:spacing w:line="600" w:lineRule="exact"/>
        <w:ind w:firstLine="420"/>
        <w:jc w:val="left"/>
      </w:pPr>
      <w:r>
        <w:rPr>
          <w:rFonts w:ascii="仿宋_GB2312" w:hAnsi="仿宋_GB2312" w:eastAsia="仿宋_GB2312" w:cs="仿宋_GB2312"/>
          <w:b/>
          <w:sz w:val="21"/>
        </w:rPr>
        <w:t>四、货物交接</w:t>
      </w:r>
    </w:p>
    <w:p w14:paraId="4E8F78BD">
      <w:pPr>
        <w:pStyle w:val="11"/>
        <w:spacing w:line="600" w:lineRule="exact"/>
        <w:ind w:firstLine="420"/>
        <w:jc w:val="left"/>
      </w:pPr>
      <w:r>
        <w:rPr>
          <w:rFonts w:ascii="仿宋_GB2312" w:hAnsi="仿宋_GB2312" w:eastAsia="仿宋_GB2312" w:cs="仿宋_GB2312"/>
          <w:sz w:val="21"/>
        </w:rPr>
        <w:t>1.乙方应当按照本合同约定的时间和方式向甲方交付货物。</w:t>
      </w:r>
    </w:p>
    <w:p w14:paraId="666F50E0">
      <w:pPr>
        <w:pStyle w:val="11"/>
        <w:spacing w:line="600" w:lineRule="exact"/>
        <w:ind w:firstLine="420"/>
        <w:jc w:val="left"/>
      </w:pPr>
      <w:r>
        <w:rPr>
          <w:rFonts w:ascii="仿宋_GB2312" w:hAnsi="仿宋_GB2312" w:eastAsia="仿宋_GB2312" w:cs="仿宋_GB2312"/>
          <w:sz w:val="21"/>
        </w:rPr>
        <w:t>2.乙方交付的货物应当符合本合同所约定的货物名称、规格型号、数量等要求。乙方提供的货物不符合本合同约定的，甲方有权拒收货物，由此引起的相关风险及损失由乙方承担。</w:t>
      </w:r>
    </w:p>
    <w:p w14:paraId="4A539865">
      <w:pPr>
        <w:pStyle w:val="11"/>
        <w:spacing w:line="600" w:lineRule="exact"/>
        <w:ind w:firstLine="420"/>
        <w:jc w:val="left"/>
      </w:pPr>
      <w:r>
        <w:rPr>
          <w:rFonts w:ascii="仿宋_GB2312" w:hAnsi="仿宋_GB2312" w:eastAsia="仿宋_GB2312" w:cs="仿宋_GB2312"/>
          <w:sz w:val="21"/>
        </w:rPr>
        <w:t>3.乙方应当依照出厂标准将货物使用说明书、原厂保修卡等附随资料和附随配件、工具等交付给甲方；乙方不能完整交付货物及本款约定的附随资料、附随配件或者工具的，视为未按照合同约定交货，乙方应当在甲方指定的合理时间内负责补齐，因此导致逾期交付的，由乙方承担相关违约责任。</w:t>
      </w:r>
    </w:p>
    <w:p w14:paraId="5502B033">
      <w:pPr>
        <w:pStyle w:val="11"/>
        <w:spacing w:line="600" w:lineRule="exact"/>
        <w:ind w:firstLine="420"/>
        <w:jc w:val="left"/>
      </w:pPr>
      <w:r>
        <w:rPr>
          <w:rFonts w:ascii="仿宋_GB2312" w:hAnsi="仿宋_GB2312" w:eastAsia="仿宋_GB2312" w:cs="仿宋_GB2312"/>
          <w:sz w:val="21"/>
        </w:rPr>
        <w:t>4.如涉及安装的，乙方应按要求提供安装服务。</w:t>
      </w:r>
    </w:p>
    <w:p w14:paraId="7F4F3BF6">
      <w:pPr>
        <w:pStyle w:val="11"/>
        <w:spacing w:line="600" w:lineRule="exact"/>
        <w:ind w:firstLine="420"/>
        <w:jc w:val="left"/>
      </w:pPr>
      <w:r>
        <w:rPr>
          <w:rFonts w:ascii="仿宋_GB2312" w:hAnsi="仿宋_GB2312" w:eastAsia="仿宋_GB2312" w:cs="仿宋_GB2312"/>
          <w:sz w:val="21"/>
        </w:rPr>
        <w:t>5.验收合格的，甲方应当签收验收单或向乙方出具验收合格书。</w:t>
      </w:r>
    </w:p>
    <w:p w14:paraId="3D2E4FF9">
      <w:pPr>
        <w:pStyle w:val="11"/>
        <w:spacing w:line="600" w:lineRule="exact"/>
        <w:ind w:firstLine="420"/>
        <w:jc w:val="left"/>
      </w:pPr>
      <w:r>
        <w:rPr>
          <w:rFonts w:ascii="仿宋_GB2312" w:hAnsi="仿宋_GB2312" w:eastAsia="仿宋_GB2312" w:cs="仿宋_GB2312"/>
          <w:b/>
          <w:sz w:val="21"/>
        </w:rPr>
        <w:t>五、货物质量、质保期及售后服务要求</w:t>
      </w:r>
    </w:p>
    <w:p w14:paraId="71F333CD">
      <w:pPr>
        <w:pStyle w:val="11"/>
        <w:spacing w:line="615" w:lineRule="exact"/>
        <w:ind w:firstLine="420"/>
        <w:jc w:val="left"/>
      </w:pPr>
      <w:r>
        <w:rPr>
          <w:rFonts w:ascii="仿宋_GB2312" w:hAnsi="仿宋_GB2312" w:eastAsia="仿宋_GB2312" w:cs="仿宋_GB2312"/>
          <w:sz w:val="21"/>
        </w:rPr>
        <w:t>1.乙方应当保证提供的货物是全新、未拆封且未使用过的原装合格正品（包括零部件），并完全符合国家检测标准或者具有中国海关商检合格证明。</w:t>
      </w:r>
    </w:p>
    <w:p w14:paraId="755A7ADF">
      <w:pPr>
        <w:pStyle w:val="11"/>
        <w:spacing w:line="615" w:lineRule="exact"/>
        <w:ind w:firstLine="420"/>
        <w:jc w:val="left"/>
      </w:pPr>
      <w:r>
        <w:rPr>
          <w:rFonts w:ascii="仿宋_GB2312" w:hAnsi="仿宋_GB2312" w:eastAsia="仿宋_GB2312" w:cs="仿宋_GB2312"/>
          <w:sz w:val="21"/>
        </w:rPr>
        <w:t>2.乙方所提供的货物的原厂维修保养期限，按照本合同生效时乙方对该货物的维修保养承诺条款执行。维修保养期从所有的货物最终验收合格并交付使用之日起计算。维修保养期内非因甲方人为原因而出现质量问题，由乙方负责包修、包换或者包退并承担修理、调换或者退货的实际费用。</w:t>
      </w:r>
    </w:p>
    <w:p w14:paraId="635581A6">
      <w:pPr>
        <w:pStyle w:val="11"/>
        <w:spacing w:line="615" w:lineRule="exact"/>
        <w:ind w:firstLine="420"/>
        <w:jc w:val="left"/>
      </w:pPr>
      <w:r>
        <w:rPr>
          <w:rFonts w:ascii="仿宋_GB2312" w:hAnsi="仿宋_GB2312" w:eastAsia="仿宋_GB2312" w:cs="仿宋_GB2312"/>
          <w:sz w:val="21"/>
        </w:rPr>
        <w:t>3.乙方应当向甲方提供售后服务联系方式：电话</w:t>
      </w:r>
      <w:r>
        <w:rPr>
          <w:rFonts w:hint="eastAsia" w:ascii="仿宋_GB2312" w:hAnsi="仿宋_GB2312" w:eastAsia="仿宋_GB2312" w:cs="仿宋_GB2312"/>
          <w:sz w:val="21"/>
          <w:u w:val="single"/>
          <w:lang w:val="en-US" w:eastAsia="zh-CN"/>
        </w:rPr>
        <w:t xml:space="preserve">         </w:t>
      </w:r>
      <w:r>
        <w:rPr>
          <w:rFonts w:ascii="仿宋_GB2312" w:hAnsi="仿宋_GB2312" w:eastAsia="仿宋_GB2312" w:cs="仿宋_GB2312"/>
          <w:sz w:val="21"/>
        </w:rPr>
        <w:t>、传真</w:t>
      </w:r>
      <w:r>
        <w:rPr>
          <w:rFonts w:hint="eastAsia" w:ascii="仿宋_GB2312" w:hAnsi="仿宋_GB2312" w:eastAsia="仿宋_GB2312" w:cs="仿宋_GB2312"/>
          <w:sz w:val="21"/>
          <w:u w:val="single"/>
          <w:lang w:val="en-US" w:eastAsia="zh-CN"/>
        </w:rPr>
        <w:t xml:space="preserve">     </w:t>
      </w:r>
      <w:r>
        <w:rPr>
          <w:rFonts w:ascii="仿宋_GB2312" w:hAnsi="仿宋_GB2312" w:eastAsia="仿宋_GB2312" w:cs="仿宋_GB2312"/>
          <w:sz w:val="21"/>
        </w:rPr>
        <w:t>、电子信箱</w:t>
      </w:r>
      <w:r>
        <w:rPr>
          <w:rFonts w:hint="eastAsia" w:ascii="仿宋_GB2312" w:hAnsi="仿宋_GB2312" w:eastAsia="仿宋_GB2312" w:cs="仿宋_GB2312"/>
          <w:sz w:val="21"/>
          <w:u w:val="single"/>
          <w:lang w:val="en-US" w:eastAsia="zh-CN"/>
        </w:rPr>
        <w:t xml:space="preserve">      </w:t>
      </w:r>
      <w:r>
        <w:rPr>
          <w:rFonts w:ascii="仿宋_GB2312" w:hAnsi="仿宋_GB2312" w:eastAsia="仿宋_GB2312" w:cs="仿宋_GB2312"/>
          <w:sz w:val="21"/>
        </w:rPr>
        <w:t>。售后服务联系方式发生变更的，应当在2个工作日内书面告知甲方；未书面告知的，视为违约。在维修保养期内，一旦发生质量问题，乙方应当保证自接到甲方通知24小时内派员到现场进行修理或调换。经过三次修理仍无法解决故障问题的，乙方应当予以调换。不能修理、不提供调换且不能退货的，乙方应当按照本合同第七条承担相关违约责任。</w:t>
      </w:r>
    </w:p>
    <w:p w14:paraId="5CE695E8">
      <w:pPr>
        <w:pStyle w:val="11"/>
        <w:spacing w:line="615" w:lineRule="exact"/>
        <w:ind w:firstLine="420"/>
        <w:jc w:val="left"/>
      </w:pPr>
      <w:r>
        <w:rPr>
          <w:rFonts w:ascii="仿宋_GB2312" w:hAnsi="仿宋_GB2312" w:eastAsia="仿宋_GB2312" w:cs="仿宋_GB2312"/>
          <w:sz w:val="21"/>
        </w:rPr>
        <w:t>4.</w:t>
      </w:r>
      <w:r>
        <w:rPr>
          <w:rFonts w:ascii="仿宋_GB2312" w:hAnsi="仿宋_GB2312" w:eastAsia="仿宋_GB2312" w:cs="仿宋_GB2312"/>
          <w:color w:val="0D0D0D"/>
          <w:sz w:val="21"/>
        </w:rPr>
        <w:t>本合同对货物的维修保养</w:t>
      </w:r>
      <w:r>
        <w:rPr>
          <w:rFonts w:ascii="仿宋_GB2312" w:hAnsi="仿宋_GB2312" w:eastAsia="仿宋_GB2312" w:cs="仿宋_GB2312"/>
          <w:sz w:val="21"/>
        </w:rPr>
        <w:t>等未进行特别约定的，按照《中华人民共和国消费者权益保护法》《网络交易管理办法》（工商总局令第60号）等法律法规关于网购的相关规定执行。</w:t>
      </w:r>
    </w:p>
    <w:p w14:paraId="698AC8AE">
      <w:pPr>
        <w:pStyle w:val="11"/>
        <w:spacing w:line="615" w:lineRule="exact"/>
        <w:ind w:firstLine="420"/>
        <w:jc w:val="left"/>
      </w:pPr>
      <w:r>
        <w:rPr>
          <w:rFonts w:ascii="仿宋_GB2312" w:hAnsi="仿宋_GB2312" w:eastAsia="仿宋_GB2312" w:cs="仿宋_GB2312"/>
          <w:b/>
          <w:sz w:val="21"/>
        </w:rPr>
        <w:t>六、付款方式及日期</w:t>
      </w:r>
    </w:p>
    <w:p w14:paraId="1CD2A237">
      <w:pPr>
        <w:pStyle w:val="11"/>
        <w:spacing w:line="615" w:lineRule="exact"/>
        <w:ind w:firstLine="420"/>
        <w:jc w:val="left"/>
      </w:pPr>
      <w:r>
        <w:rPr>
          <w:rFonts w:ascii="仿宋_GB2312" w:hAnsi="仿宋_GB2312" w:eastAsia="仿宋_GB2312" w:cs="仿宋_GB2312"/>
          <w:sz w:val="21"/>
        </w:rPr>
        <w:t>1.采取公务采购卡形式支付货款的，甲方应当在收到货物及乙方开具的正规发票并验收合格后，将全部货款一次性支付到乙方指定的银行账户。</w:t>
      </w:r>
    </w:p>
    <w:p w14:paraId="557B70E2">
      <w:pPr>
        <w:pStyle w:val="11"/>
        <w:spacing w:line="615" w:lineRule="exact"/>
        <w:ind w:left="105" w:firstLine="315"/>
        <w:jc w:val="left"/>
      </w:pPr>
      <w:r>
        <w:rPr>
          <w:rFonts w:ascii="仿宋_GB2312" w:hAnsi="仿宋_GB2312" w:eastAsia="仿宋_GB2312" w:cs="仿宋_GB2312"/>
          <w:sz w:val="21"/>
        </w:rPr>
        <w:t>2.采取转账形式支付货款的，乙方应在当月第</w:t>
      </w:r>
      <w:r>
        <w:rPr>
          <w:rFonts w:hint="eastAsia" w:ascii="仿宋_GB2312" w:hAnsi="仿宋_GB2312" w:eastAsia="仿宋_GB2312" w:cs="仿宋_GB2312"/>
          <w:sz w:val="21"/>
          <w:u w:val="single"/>
          <w:lang w:val="en-US" w:eastAsia="zh-CN"/>
        </w:rPr>
        <w:t xml:space="preserve">    </w:t>
      </w:r>
      <w:r>
        <w:rPr>
          <w:rFonts w:ascii="仿宋_GB2312" w:hAnsi="仿宋_GB2312" w:eastAsia="仿宋_GB2312" w:cs="仿宋_GB2312"/>
          <w:sz w:val="21"/>
        </w:rPr>
        <w:t>日前结算上一个月的货款，并向甲方提交上一个月的结算单及乙方开具的正规发票。甲方审核通过的，自收到结算单和发票之日起30日内将上一个月的货款一次性支付到乙方指定的银行账户（由乙方另行向甲方提供）。甲方如果对结算单或发票有异议的，甲方应当于收到之日起10日内以书面形式提出，否则视为无异议。但因乙方故意隐瞒事实或弄虚作假致使甲方未及时发现的除外。</w:t>
      </w:r>
    </w:p>
    <w:p w14:paraId="5B96FB79">
      <w:pPr>
        <w:pStyle w:val="11"/>
        <w:spacing w:line="615" w:lineRule="exact"/>
        <w:ind w:left="105" w:firstLine="315"/>
        <w:jc w:val="left"/>
      </w:pPr>
      <w:r>
        <w:rPr>
          <w:rFonts w:ascii="仿宋_GB2312" w:hAnsi="仿宋_GB2312" w:eastAsia="仿宋_GB2312" w:cs="仿宋_GB2312"/>
          <w:sz w:val="21"/>
        </w:rPr>
        <w:t>甲方按照乙方提供的银行账户支付货款后，因乙方提供账户或者账号相关信息遗漏、错误等原因所产生的后果由乙方自行承担。</w:t>
      </w:r>
    </w:p>
    <w:p w14:paraId="0DB1DAD9">
      <w:pPr>
        <w:pStyle w:val="11"/>
        <w:spacing w:line="615" w:lineRule="exact"/>
        <w:ind w:firstLine="420"/>
        <w:jc w:val="left"/>
      </w:pPr>
      <w:r>
        <w:rPr>
          <w:rFonts w:ascii="仿宋_GB2312" w:hAnsi="仿宋_GB2312" w:eastAsia="仿宋_GB2312" w:cs="仿宋_GB2312"/>
          <w:b/>
          <w:sz w:val="21"/>
        </w:rPr>
        <w:t>七、违约责任</w:t>
      </w:r>
    </w:p>
    <w:p w14:paraId="06EDD48D">
      <w:pPr>
        <w:pStyle w:val="11"/>
        <w:spacing w:line="615" w:lineRule="exact"/>
        <w:ind w:firstLine="420"/>
        <w:jc w:val="left"/>
      </w:pPr>
      <w:r>
        <w:rPr>
          <w:rFonts w:ascii="仿宋_GB2312" w:hAnsi="仿宋_GB2312" w:eastAsia="仿宋_GB2312" w:cs="仿宋_GB2312"/>
          <w:sz w:val="21"/>
        </w:rPr>
        <w:t>1.甲方逾期支付货款，或乙方逾期交货的，每延误一日则必须向对方偿付合同总价款1‰的违约金，但该违约金原则上不超过合同总价款的10%。如因政府有关部门超期审批等原因造成甲方付款迟延的，不视为甲方违约，甲方不承担前述违约责任。</w:t>
      </w:r>
    </w:p>
    <w:p w14:paraId="17222D6B">
      <w:pPr>
        <w:pStyle w:val="11"/>
        <w:spacing w:line="615" w:lineRule="exact"/>
        <w:ind w:firstLine="420"/>
        <w:jc w:val="left"/>
      </w:pPr>
      <w:r>
        <w:rPr>
          <w:rFonts w:ascii="仿宋_GB2312" w:hAnsi="仿宋_GB2312" w:eastAsia="仿宋_GB2312" w:cs="仿宋_GB2312"/>
          <w:sz w:val="21"/>
        </w:rPr>
        <w:t>2.乙方未履行本合同项的其他义务或者违反其在框架协议中的相关承诺/声明/保证的，应当按照合同价款总额的10%向甲方承担违约责任。出现政府采购法律法规规定的违法违规情形的，守约方应当将相关违法违规行为及时向财政部门报告。</w:t>
      </w:r>
    </w:p>
    <w:p w14:paraId="12FA4103">
      <w:pPr>
        <w:pStyle w:val="11"/>
        <w:spacing w:line="615" w:lineRule="exact"/>
        <w:ind w:firstLine="420"/>
        <w:jc w:val="left"/>
      </w:pPr>
      <w:r>
        <w:rPr>
          <w:rFonts w:ascii="仿宋_GB2312" w:hAnsi="仿宋_GB2312" w:eastAsia="仿宋_GB2312" w:cs="仿宋_GB2312"/>
          <w:b/>
          <w:sz w:val="21"/>
        </w:rPr>
        <w:t>八、解决纠纷方式</w:t>
      </w:r>
    </w:p>
    <w:p w14:paraId="54D171BF">
      <w:pPr>
        <w:pStyle w:val="11"/>
        <w:spacing w:line="615" w:lineRule="exact"/>
        <w:ind w:firstLine="420"/>
        <w:jc w:val="left"/>
      </w:pPr>
      <w:r>
        <w:rPr>
          <w:rFonts w:ascii="仿宋_GB2312" w:hAnsi="仿宋_GB2312" w:eastAsia="仿宋_GB2312" w:cs="仿宋_GB2312"/>
          <w:sz w:val="21"/>
        </w:rPr>
        <w:t>因履行本合同引起的或者与本合同有关的争议，甲乙双方应当通过友好协商方式解决；如协商不能解决争议的，任何一方可以□向深圳国际仲裁院申请仲裁 □向甲方住所地有管辖权的人民法院提起诉讼。（注：以上两种争议解决方式只能二选一）</w:t>
      </w:r>
    </w:p>
    <w:p w14:paraId="434D9213">
      <w:pPr>
        <w:pStyle w:val="11"/>
        <w:spacing w:line="615" w:lineRule="exact"/>
        <w:ind w:firstLine="420"/>
        <w:jc w:val="left"/>
      </w:pPr>
      <w:r>
        <w:rPr>
          <w:rFonts w:ascii="仿宋_GB2312" w:hAnsi="仿宋_GB2312" w:eastAsia="仿宋_GB2312" w:cs="仿宋_GB2312"/>
          <w:b/>
          <w:sz w:val="21"/>
        </w:rPr>
        <w:t>九、不可抗力</w:t>
      </w:r>
    </w:p>
    <w:p w14:paraId="6931E300">
      <w:pPr>
        <w:pStyle w:val="11"/>
        <w:spacing w:line="540" w:lineRule="exact"/>
        <w:ind w:firstLine="420"/>
        <w:jc w:val="left"/>
      </w:pPr>
      <w:r>
        <w:rPr>
          <w:rFonts w:ascii="仿宋_GB2312" w:hAnsi="仿宋_GB2312" w:eastAsia="仿宋_GB2312" w:cs="仿宋_GB2312"/>
          <w:sz w:val="21"/>
        </w:rPr>
        <w:t>1.不可抗力指下列事件：战争、动乱、瘟疫、严重火灾、洪水、地震、风暴或其他自然灾害，以及本合同各方不可预见、不可防止并不能避免或克服的一切其他事件。</w:t>
      </w:r>
    </w:p>
    <w:p w14:paraId="1902F91E">
      <w:pPr>
        <w:pStyle w:val="11"/>
        <w:spacing w:line="540" w:lineRule="exact"/>
        <w:ind w:firstLine="420"/>
        <w:jc w:val="left"/>
      </w:pPr>
      <w:r>
        <w:rPr>
          <w:rFonts w:ascii="仿宋_GB2312" w:hAnsi="仿宋_GB2312" w:eastAsia="仿宋_GB2312" w:cs="仿宋_GB2312"/>
          <w:sz w:val="21"/>
        </w:rPr>
        <w:t>2.任何一方因不可抗力不能履行本合同规定的全部或部分义务，该方应尽快通知另一方，并须在不可抗力发生后三日内以书面形式向另一方提供详细情况报告及不可抗力对履行本合同的影响程度的说明。</w:t>
      </w:r>
    </w:p>
    <w:p w14:paraId="15484134">
      <w:pPr>
        <w:pStyle w:val="11"/>
        <w:spacing w:line="540" w:lineRule="exact"/>
        <w:ind w:firstLine="420"/>
        <w:jc w:val="left"/>
      </w:pPr>
      <w:r>
        <w:rPr>
          <w:rFonts w:ascii="仿宋_GB2312" w:hAnsi="仿宋_GB2312" w:eastAsia="仿宋_GB2312" w:cs="仿宋_GB2312"/>
          <w:sz w:val="21"/>
        </w:rPr>
        <w:t>3.发生不可抗力事件，任何一方均不对因不可抗力无法履行或迟延履行本合同义务而使另一方蒙受的任何损失承担责任。但遭受不可抗力影响的一方有责任尽可能及时采取适当或必要措施减少或消除不可抗力的影响。遭受不可抗力影响的一方对因未尽本项责任而造成的相关损失承担责任。</w:t>
      </w:r>
    </w:p>
    <w:p w14:paraId="50CA4311">
      <w:pPr>
        <w:pStyle w:val="11"/>
        <w:spacing w:line="540" w:lineRule="exact"/>
        <w:ind w:firstLine="420"/>
        <w:jc w:val="left"/>
      </w:pPr>
      <w:r>
        <w:rPr>
          <w:rFonts w:ascii="仿宋_GB2312" w:hAnsi="仿宋_GB2312" w:eastAsia="仿宋_GB2312" w:cs="仿宋_GB2312"/>
          <w:sz w:val="21"/>
        </w:rPr>
        <w:t>4.合同各方应根据不可抗力对本协议履行的影响程度，协商确定是否终止本合同，或是继续履行本合同。</w:t>
      </w:r>
    </w:p>
    <w:p w14:paraId="27A19F52">
      <w:pPr>
        <w:pStyle w:val="11"/>
        <w:spacing w:line="615" w:lineRule="exact"/>
        <w:ind w:firstLine="420"/>
        <w:jc w:val="left"/>
      </w:pPr>
      <w:r>
        <w:rPr>
          <w:rFonts w:ascii="仿宋_GB2312" w:hAnsi="仿宋_GB2312" w:eastAsia="仿宋_GB2312" w:cs="仿宋_GB2312"/>
          <w:b/>
          <w:sz w:val="21"/>
        </w:rPr>
        <w:t>十、保密条款</w:t>
      </w:r>
    </w:p>
    <w:p w14:paraId="53305E66">
      <w:pPr>
        <w:pStyle w:val="11"/>
        <w:spacing w:line="540" w:lineRule="exact"/>
        <w:ind w:firstLine="420"/>
        <w:jc w:val="left"/>
      </w:pPr>
      <w:r>
        <w:rPr>
          <w:rFonts w:ascii="仿宋_GB2312" w:hAnsi="仿宋_GB2312" w:eastAsia="仿宋_GB2312" w:cs="仿宋_GB2312"/>
          <w:sz w:val="21"/>
        </w:rPr>
        <w:t>1.任何一方对在履约中获知的国家秘密和其他各方的商业秘密负有保密义务。</w:t>
      </w:r>
    </w:p>
    <w:p w14:paraId="6E17003F">
      <w:pPr>
        <w:pStyle w:val="11"/>
        <w:spacing w:line="540" w:lineRule="exact"/>
        <w:ind w:firstLine="420"/>
        <w:jc w:val="left"/>
      </w:pPr>
      <w:r>
        <w:rPr>
          <w:rFonts w:ascii="仿宋_GB2312" w:hAnsi="仿宋_GB2312" w:eastAsia="仿宋_GB2312" w:cs="仿宋_GB2312"/>
          <w:sz w:val="21"/>
        </w:rPr>
        <w:t>2.除非法律、法规另有规定或得到本合同另一方的书面许可，任何一方不得向第三人泄露前款规定的国家秘密和商业秘密。保密期限自任何一方获知该商业秘密和国家秘密之日起至本条规定的秘密成为公众信息之日止。</w:t>
      </w:r>
    </w:p>
    <w:p w14:paraId="268BADF7">
      <w:pPr>
        <w:pStyle w:val="11"/>
        <w:spacing w:line="615" w:lineRule="exact"/>
        <w:ind w:firstLine="420"/>
        <w:jc w:val="left"/>
      </w:pPr>
      <w:r>
        <w:rPr>
          <w:rFonts w:ascii="仿宋_GB2312" w:hAnsi="仿宋_GB2312" w:eastAsia="仿宋_GB2312" w:cs="仿宋_GB2312"/>
          <w:b/>
          <w:sz w:val="21"/>
        </w:rPr>
        <w:t>十一、联系方式</w:t>
      </w:r>
    </w:p>
    <w:p w14:paraId="3B4C64A2">
      <w:pPr>
        <w:pStyle w:val="11"/>
        <w:spacing w:line="540" w:lineRule="exact"/>
        <w:ind w:firstLine="420"/>
        <w:jc w:val="left"/>
      </w:pPr>
      <w:r>
        <w:rPr>
          <w:rFonts w:ascii="仿宋_GB2312" w:hAnsi="仿宋_GB2312" w:eastAsia="仿宋_GB2312" w:cs="仿宋_GB2312"/>
          <w:sz w:val="21"/>
        </w:rPr>
        <w:t>1.合同双方发出与本合同有关的通知或回复，应以专人送达、传真或特快专递方式发出; 如果以专人送达或特快专递发送，送达地址信息以合同尾页填写的信息为准，出现变更未及时告知的责任概由未履行通知义务的一方承担;如果以传真方式发送，发件人在收到传真报告后视为送达。</w:t>
      </w:r>
    </w:p>
    <w:p w14:paraId="40E71456">
      <w:pPr>
        <w:pStyle w:val="11"/>
        <w:spacing w:line="540" w:lineRule="exact"/>
        <w:ind w:firstLine="420"/>
        <w:jc w:val="left"/>
      </w:pPr>
      <w:r>
        <w:rPr>
          <w:rFonts w:ascii="仿宋_GB2312" w:hAnsi="仿宋_GB2312" w:eastAsia="仿宋_GB2312" w:cs="仿宋_GB2312"/>
          <w:sz w:val="21"/>
        </w:rPr>
        <w:t>2.一方变更通讯地址或账号，应自变更之日起三个工作日内，将变更后的地址通知对方。变更方不履行通知义务的，应对此造成的一切后果承担法律责任。</w:t>
      </w:r>
    </w:p>
    <w:p w14:paraId="7D2528BA">
      <w:pPr>
        <w:pStyle w:val="11"/>
        <w:spacing w:line="615" w:lineRule="exact"/>
        <w:ind w:firstLine="420"/>
        <w:jc w:val="left"/>
      </w:pPr>
      <w:r>
        <w:rPr>
          <w:rFonts w:ascii="仿宋_GB2312" w:hAnsi="仿宋_GB2312" w:eastAsia="仿宋_GB2312" w:cs="仿宋_GB2312"/>
          <w:b/>
          <w:sz w:val="21"/>
        </w:rPr>
        <w:t>十二、其他</w:t>
      </w:r>
    </w:p>
    <w:p w14:paraId="26F809F1">
      <w:pPr>
        <w:pStyle w:val="11"/>
        <w:spacing w:line="615" w:lineRule="exact"/>
        <w:ind w:firstLine="420"/>
        <w:jc w:val="left"/>
      </w:pPr>
      <w:r>
        <w:rPr>
          <w:rFonts w:ascii="仿宋_GB2312" w:hAnsi="仿宋_GB2312" w:eastAsia="仿宋_GB2312" w:cs="仿宋_GB2312"/>
          <w:sz w:val="21"/>
        </w:rPr>
        <w:t>1.货物编号对应的技术参数、性能等是本合同的重要组成部分。</w:t>
      </w:r>
    </w:p>
    <w:p w14:paraId="36F6FBE6">
      <w:pPr>
        <w:pStyle w:val="11"/>
        <w:spacing w:line="615" w:lineRule="exact"/>
        <w:ind w:firstLine="420"/>
        <w:jc w:val="left"/>
      </w:pPr>
      <w:r>
        <w:rPr>
          <w:rFonts w:ascii="仿宋_GB2312" w:hAnsi="仿宋_GB2312" w:eastAsia="仿宋_GB2312" w:cs="仿宋_GB2312"/>
          <w:sz w:val="21"/>
        </w:rPr>
        <w:t>2.本合同自订单生成之日起生效。</w:t>
      </w:r>
    </w:p>
    <w:tbl>
      <w:tblPr>
        <w:tblStyle w:val="7"/>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6D94F1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Borders>
              <w:top w:val="nil"/>
              <w:left w:val="nil"/>
              <w:bottom w:val="nil"/>
              <w:right w:val="nil"/>
            </w:tcBorders>
            <w:tcMar>
              <w:top w:w="0" w:type="dxa"/>
              <w:left w:w="105" w:type="dxa"/>
              <w:bottom w:w="0" w:type="dxa"/>
              <w:right w:w="105" w:type="dxa"/>
            </w:tcMar>
            <w:vAlign w:val="top"/>
          </w:tcPr>
          <w:p w14:paraId="710C5C42">
            <w:pPr>
              <w:pStyle w:val="11"/>
              <w:spacing w:after="45" w:line="540" w:lineRule="exact"/>
              <w:ind w:firstLine="480"/>
              <w:jc w:val="left"/>
              <w:rPr>
                <w:rFonts w:hint="eastAsia" w:ascii="宋体" w:hAnsi="宋体" w:eastAsia="宋体" w:cs="Times New Roman"/>
                <w:color w:val="000000"/>
                <w:sz w:val="21"/>
                <w:szCs w:val="21"/>
                <w:lang w:val="en-US" w:eastAsia="zh-CN" w:bidi="ar-SA"/>
              </w:rPr>
            </w:pPr>
            <w:r>
              <w:rPr>
                <w:rFonts w:hint="eastAsia" w:ascii="宋体" w:hAnsi="宋体" w:eastAsia="宋体" w:cs="Times New Roman"/>
                <w:color w:val="000000"/>
                <w:sz w:val="21"/>
                <w:szCs w:val="21"/>
                <w:lang w:val="en-US" w:eastAsia="zh-CN" w:bidi="ar-SA"/>
              </w:rPr>
              <w:t>甲方：</w:t>
            </w:r>
          </w:p>
          <w:p w14:paraId="180D661E">
            <w:pPr>
              <w:pStyle w:val="11"/>
              <w:spacing w:after="45" w:line="540" w:lineRule="exact"/>
              <w:ind w:firstLine="480" w:firstLineChars="0"/>
              <w:jc w:val="left"/>
            </w:pPr>
          </w:p>
        </w:tc>
        <w:tc>
          <w:tcPr>
            <w:tcW w:w="4153" w:type="dxa"/>
            <w:tcBorders>
              <w:top w:val="nil"/>
              <w:left w:val="nil"/>
              <w:bottom w:val="nil"/>
              <w:right w:val="nil"/>
            </w:tcBorders>
            <w:tcMar>
              <w:top w:w="0" w:type="dxa"/>
              <w:left w:w="105" w:type="dxa"/>
              <w:bottom w:w="0" w:type="dxa"/>
              <w:right w:w="105" w:type="dxa"/>
            </w:tcMar>
            <w:vAlign w:val="top"/>
          </w:tcPr>
          <w:p w14:paraId="14E2E82D">
            <w:pPr>
              <w:pStyle w:val="11"/>
              <w:spacing w:after="45" w:line="540" w:lineRule="exact"/>
              <w:ind w:firstLine="480"/>
              <w:jc w:val="left"/>
              <w:rPr>
                <w:rFonts w:hint="eastAsia" w:ascii="宋体" w:hAnsi="宋体" w:eastAsia="宋体" w:cs="Times New Roman"/>
                <w:color w:val="000000"/>
                <w:sz w:val="21"/>
                <w:szCs w:val="21"/>
                <w:lang w:val="en-US" w:eastAsia="zh-CN" w:bidi="ar-SA"/>
              </w:rPr>
            </w:pPr>
            <w:r>
              <w:rPr>
                <w:rFonts w:hint="eastAsia" w:ascii="宋体" w:hAnsi="宋体" w:eastAsia="宋体" w:cs="Times New Roman"/>
                <w:color w:val="000000"/>
                <w:sz w:val="21"/>
                <w:szCs w:val="21"/>
                <w:lang w:val="en-US" w:eastAsia="zh-CN" w:bidi="ar-SA"/>
              </w:rPr>
              <w:t>乙方：</w:t>
            </w:r>
          </w:p>
          <w:p w14:paraId="1286CA4B">
            <w:pPr>
              <w:pStyle w:val="11"/>
              <w:spacing w:after="45" w:line="540" w:lineRule="exact"/>
              <w:ind w:firstLine="480" w:firstLineChars="0"/>
              <w:jc w:val="left"/>
            </w:pPr>
          </w:p>
        </w:tc>
      </w:tr>
      <w:tr w14:paraId="6FBA31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Borders>
              <w:top w:val="nil"/>
              <w:left w:val="nil"/>
              <w:bottom w:val="nil"/>
              <w:right w:val="nil"/>
            </w:tcBorders>
            <w:tcMar>
              <w:top w:w="0" w:type="dxa"/>
              <w:left w:w="105" w:type="dxa"/>
              <w:bottom w:w="0" w:type="dxa"/>
              <w:right w:w="105" w:type="dxa"/>
            </w:tcMar>
            <w:vAlign w:val="top"/>
          </w:tcPr>
          <w:p w14:paraId="12CA4E40">
            <w:pPr>
              <w:pStyle w:val="11"/>
              <w:spacing w:after="45" w:line="540" w:lineRule="exact"/>
              <w:ind w:firstLine="480"/>
              <w:jc w:val="left"/>
              <w:rPr>
                <w:rFonts w:hint="eastAsia" w:ascii="宋体" w:hAnsi="宋体" w:eastAsia="宋体" w:cs="Times New Roman"/>
                <w:color w:val="000000"/>
                <w:sz w:val="21"/>
                <w:szCs w:val="21"/>
                <w:lang w:val="en-US" w:eastAsia="zh-CN" w:bidi="ar-SA"/>
              </w:rPr>
            </w:pPr>
            <w:r>
              <w:rPr>
                <w:rFonts w:hint="eastAsia" w:ascii="宋体" w:hAnsi="宋体" w:eastAsia="宋体" w:cs="Times New Roman"/>
                <w:color w:val="000000"/>
                <w:sz w:val="21"/>
                <w:szCs w:val="21"/>
                <w:lang w:val="en-US" w:eastAsia="zh-CN" w:bidi="ar-SA"/>
              </w:rPr>
              <w:t>联系方式：</w:t>
            </w:r>
          </w:p>
          <w:p w14:paraId="35AFA8DB">
            <w:pPr>
              <w:pStyle w:val="11"/>
              <w:spacing w:after="45" w:line="540" w:lineRule="exact"/>
              <w:ind w:firstLine="480"/>
              <w:jc w:val="left"/>
              <w:rPr>
                <w:rFonts w:hint="eastAsia" w:ascii="宋体" w:hAnsi="宋体" w:eastAsia="宋体" w:cs="Times New Roman"/>
                <w:color w:val="000000"/>
                <w:sz w:val="21"/>
                <w:szCs w:val="21"/>
                <w:lang w:val="en-US" w:eastAsia="zh-CN" w:bidi="ar-SA"/>
              </w:rPr>
            </w:pPr>
            <w:r>
              <w:rPr>
                <w:rFonts w:hint="eastAsia" w:ascii="宋体" w:hAnsi="宋体" w:eastAsia="宋体" w:cs="Times New Roman"/>
                <w:color w:val="000000"/>
                <w:sz w:val="21"/>
                <w:szCs w:val="21"/>
                <w:lang w:val="en-US" w:eastAsia="zh-CN" w:bidi="ar-SA"/>
              </w:rPr>
              <w:t>地址：</w:t>
            </w:r>
          </w:p>
          <w:p w14:paraId="162B0FFE">
            <w:pPr>
              <w:pStyle w:val="11"/>
              <w:spacing w:after="45" w:line="540" w:lineRule="exact"/>
              <w:ind w:firstLine="480" w:firstLineChars="0"/>
              <w:jc w:val="left"/>
            </w:pPr>
            <w:r>
              <w:rPr>
                <w:rFonts w:hint="eastAsia" w:ascii="宋体" w:hAnsi="宋体" w:eastAsia="宋体" w:cs="Times New Roman"/>
                <w:color w:val="000000"/>
                <w:sz w:val="21"/>
                <w:szCs w:val="21"/>
                <w:lang w:val="en-US" w:eastAsia="zh-CN" w:bidi="ar-SA"/>
              </w:rPr>
              <w:t>签订日期：    年   月   日</w:t>
            </w:r>
          </w:p>
        </w:tc>
        <w:tc>
          <w:tcPr>
            <w:tcW w:w="4153" w:type="dxa"/>
            <w:tcBorders>
              <w:top w:val="nil"/>
              <w:left w:val="nil"/>
              <w:bottom w:val="nil"/>
              <w:right w:val="nil"/>
            </w:tcBorders>
            <w:tcMar>
              <w:top w:w="0" w:type="dxa"/>
              <w:left w:w="105" w:type="dxa"/>
              <w:bottom w:w="0" w:type="dxa"/>
              <w:right w:w="105" w:type="dxa"/>
            </w:tcMar>
            <w:vAlign w:val="top"/>
          </w:tcPr>
          <w:p w14:paraId="72EA662A">
            <w:pPr>
              <w:pStyle w:val="11"/>
              <w:spacing w:after="45" w:line="540" w:lineRule="exact"/>
              <w:ind w:firstLine="480"/>
              <w:jc w:val="left"/>
              <w:rPr>
                <w:rFonts w:hint="eastAsia" w:ascii="宋体" w:hAnsi="宋体" w:eastAsia="宋体" w:cs="Times New Roman"/>
                <w:color w:val="000000"/>
                <w:sz w:val="21"/>
                <w:szCs w:val="21"/>
                <w:lang w:val="en-US" w:eastAsia="zh-CN" w:bidi="ar-SA"/>
              </w:rPr>
            </w:pPr>
            <w:r>
              <w:rPr>
                <w:rFonts w:hint="eastAsia" w:ascii="宋体" w:hAnsi="宋体" w:eastAsia="宋体" w:cs="Times New Roman"/>
                <w:color w:val="000000"/>
                <w:sz w:val="21"/>
                <w:szCs w:val="21"/>
                <w:lang w:val="en-US" w:eastAsia="zh-CN" w:bidi="ar-SA"/>
              </w:rPr>
              <w:t>联系方式：</w:t>
            </w:r>
          </w:p>
          <w:p w14:paraId="66C1C105">
            <w:pPr>
              <w:pStyle w:val="11"/>
              <w:spacing w:after="45" w:line="540" w:lineRule="exact"/>
              <w:ind w:firstLine="480"/>
              <w:jc w:val="left"/>
              <w:rPr>
                <w:rFonts w:hint="eastAsia" w:ascii="宋体" w:hAnsi="宋体" w:eastAsia="宋体" w:cs="Times New Roman"/>
                <w:color w:val="000000"/>
                <w:sz w:val="21"/>
                <w:szCs w:val="21"/>
                <w:lang w:val="en-US" w:eastAsia="zh-CN" w:bidi="ar-SA"/>
              </w:rPr>
            </w:pPr>
            <w:r>
              <w:rPr>
                <w:rFonts w:hint="eastAsia" w:ascii="宋体" w:hAnsi="宋体" w:eastAsia="宋体" w:cs="Times New Roman"/>
                <w:color w:val="000000"/>
                <w:sz w:val="21"/>
                <w:szCs w:val="21"/>
                <w:lang w:val="en-US" w:eastAsia="zh-CN" w:bidi="ar-SA"/>
              </w:rPr>
              <w:t>地址：</w:t>
            </w:r>
          </w:p>
          <w:p w14:paraId="7B4C7906">
            <w:pPr>
              <w:pStyle w:val="11"/>
              <w:spacing w:after="45" w:line="540" w:lineRule="exact"/>
              <w:ind w:firstLine="480" w:firstLineChars="0"/>
              <w:jc w:val="left"/>
            </w:pPr>
            <w:r>
              <w:rPr>
                <w:rFonts w:hint="eastAsia" w:ascii="宋体" w:hAnsi="宋体" w:eastAsia="宋体" w:cs="Times New Roman"/>
                <w:color w:val="000000"/>
                <w:sz w:val="21"/>
                <w:szCs w:val="21"/>
                <w:lang w:val="en-US" w:eastAsia="zh-CN" w:bidi="ar-SA"/>
              </w:rPr>
              <w:t>签订日期：    年   月   日</w:t>
            </w:r>
          </w:p>
        </w:tc>
      </w:tr>
    </w:tbl>
    <w:p w14:paraId="67AF5449">
      <w:pPr>
        <w:pStyle w:val="11"/>
        <w:jc w:val="left"/>
      </w:pPr>
    </w:p>
    <w:p w14:paraId="7EBBD422">
      <w:pPr>
        <w:pStyle w:val="11"/>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Microsoft JhengHe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0F975D"/>
    <w:multiLevelType w:val="singleLevel"/>
    <w:tmpl w:val="AE0F975D"/>
    <w:lvl w:ilvl="0" w:tentative="0">
      <w:start w:val="2"/>
      <w:numFmt w:val="decimal"/>
      <w:lvlText w:val="%1."/>
      <w:lvlJc w:val="left"/>
      <w:pPr>
        <w:tabs>
          <w:tab w:val="left" w:pos="312"/>
        </w:tabs>
      </w:pPr>
    </w:lvl>
  </w:abstractNum>
  <w:abstractNum w:abstractNumId="1">
    <w:nsid w:val="C591C9C0"/>
    <w:multiLevelType w:val="singleLevel"/>
    <w:tmpl w:val="C591C9C0"/>
    <w:lvl w:ilvl="0" w:tentative="0">
      <w:start w:val="4"/>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1F7F7E"/>
    <w:rsid w:val="009F2E6D"/>
    <w:rsid w:val="00D5063D"/>
    <w:rsid w:val="01193612"/>
    <w:rsid w:val="01E4322D"/>
    <w:rsid w:val="01E847E5"/>
    <w:rsid w:val="020411DA"/>
    <w:rsid w:val="029307AF"/>
    <w:rsid w:val="02A46D06"/>
    <w:rsid w:val="03231B33"/>
    <w:rsid w:val="03557185"/>
    <w:rsid w:val="03561F09"/>
    <w:rsid w:val="03C03826"/>
    <w:rsid w:val="03C2134C"/>
    <w:rsid w:val="03E47515"/>
    <w:rsid w:val="048E7480"/>
    <w:rsid w:val="04B639AF"/>
    <w:rsid w:val="04C82992"/>
    <w:rsid w:val="04E40879"/>
    <w:rsid w:val="050339CA"/>
    <w:rsid w:val="05322502"/>
    <w:rsid w:val="05F812DD"/>
    <w:rsid w:val="06732409"/>
    <w:rsid w:val="06AC0092"/>
    <w:rsid w:val="073D0CEA"/>
    <w:rsid w:val="073F2CB4"/>
    <w:rsid w:val="07634BF4"/>
    <w:rsid w:val="076444C8"/>
    <w:rsid w:val="08206641"/>
    <w:rsid w:val="08236C88"/>
    <w:rsid w:val="082442C2"/>
    <w:rsid w:val="08FD75AE"/>
    <w:rsid w:val="09542264"/>
    <w:rsid w:val="095E1B17"/>
    <w:rsid w:val="09EF276F"/>
    <w:rsid w:val="0A1176D6"/>
    <w:rsid w:val="0A4C1970"/>
    <w:rsid w:val="0A981059"/>
    <w:rsid w:val="0AE95411"/>
    <w:rsid w:val="0AF142C5"/>
    <w:rsid w:val="0B9A2BAF"/>
    <w:rsid w:val="0BC96FF0"/>
    <w:rsid w:val="0BCD4D32"/>
    <w:rsid w:val="0BFC66C8"/>
    <w:rsid w:val="0C963376"/>
    <w:rsid w:val="0D186481"/>
    <w:rsid w:val="0D197B03"/>
    <w:rsid w:val="0D95362E"/>
    <w:rsid w:val="0DD31932"/>
    <w:rsid w:val="0E0C7BC1"/>
    <w:rsid w:val="0E19425F"/>
    <w:rsid w:val="0E241DC8"/>
    <w:rsid w:val="0E715E49"/>
    <w:rsid w:val="0E7771D7"/>
    <w:rsid w:val="0E7E40C2"/>
    <w:rsid w:val="0EE20AF5"/>
    <w:rsid w:val="0FAE09D7"/>
    <w:rsid w:val="0FBA737B"/>
    <w:rsid w:val="1040267F"/>
    <w:rsid w:val="107324FB"/>
    <w:rsid w:val="10800423"/>
    <w:rsid w:val="109220A6"/>
    <w:rsid w:val="10A15B58"/>
    <w:rsid w:val="1146778F"/>
    <w:rsid w:val="121D1E44"/>
    <w:rsid w:val="125C471A"/>
    <w:rsid w:val="12665599"/>
    <w:rsid w:val="129465AA"/>
    <w:rsid w:val="12E36D9D"/>
    <w:rsid w:val="12F971C9"/>
    <w:rsid w:val="13272F7A"/>
    <w:rsid w:val="134C7BD2"/>
    <w:rsid w:val="13AE71F7"/>
    <w:rsid w:val="14667AD2"/>
    <w:rsid w:val="14812B5E"/>
    <w:rsid w:val="14FB7FC5"/>
    <w:rsid w:val="154D47EE"/>
    <w:rsid w:val="156F29B6"/>
    <w:rsid w:val="1651176C"/>
    <w:rsid w:val="16DC22CD"/>
    <w:rsid w:val="16F969DB"/>
    <w:rsid w:val="171C4DC0"/>
    <w:rsid w:val="172D2B29"/>
    <w:rsid w:val="172F4AF3"/>
    <w:rsid w:val="176F4EEF"/>
    <w:rsid w:val="177F50ED"/>
    <w:rsid w:val="18583BD5"/>
    <w:rsid w:val="186407CC"/>
    <w:rsid w:val="18C272A1"/>
    <w:rsid w:val="190873AA"/>
    <w:rsid w:val="191952E8"/>
    <w:rsid w:val="193C323C"/>
    <w:rsid w:val="19614D0C"/>
    <w:rsid w:val="196C5B8A"/>
    <w:rsid w:val="196F43D6"/>
    <w:rsid w:val="19C71013"/>
    <w:rsid w:val="1B485C9B"/>
    <w:rsid w:val="1C3929C1"/>
    <w:rsid w:val="1C8E5E18"/>
    <w:rsid w:val="1D077B3B"/>
    <w:rsid w:val="1D3A5FA0"/>
    <w:rsid w:val="1D440BCC"/>
    <w:rsid w:val="1D6A0633"/>
    <w:rsid w:val="1DA376A1"/>
    <w:rsid w:val="1DC31AF1"/>
    <w:rsid w:val="1E2702D2"/>
    <w:rsid w:val="1EC8325D"/>
    <w:rsid w:val="1ECC68ED"/>
    <w:rsid w:val="1F104147"/>
    <w:rsid w:val="1F62533A"/>
    <w:rsid w:val="1F9E1039"/>
    <w:rsid w:val="20670E5A"/>
    <w:rsid w:val="206A7742"/>
    <w:rsid w:val="2119430C"/>
    <w:rsid w:val="21C81DCC"/>
    <w:rsid w:val="22235254"/>
    <w:rsid w:val="22731412"/>
    <w:rsid w:val="22AA3FE0"/>
    <w:rsid w:val="22E03145"/>
    <w:rsid w:val="230E380E"/>
    <w:rsid w:val="236C6787"/>
    <w:rsid w:val="239A32F4"/>
    <w:rsid w:val="244D65B8"/>
    <w:rsid w:val="24600383"/>
    <w:rsid w:val="249B37C8"/>
    <w:rsid w:val="24A51F50"/>
    <w:rsid w:val="251E1659"/>
    <w:rsid w:val="256718FC"/>
    <w:rsid w:val="25F5515A"/>
    <w:rsid w:val="2628108B"/>
    <w:rsid w:val="2637307C"/>
    <w:rsid w:val="26C501E3"/>
    <w:rsid w:val="27027B2E"/>
    <w:rsid w:val="272950BB"/>
    <w:rsid w:val="27CE6E7A"/>
    <w:rsid w:val="27E86D24"/>
    <w:rsid w:val="281178FD"/>
    <w:rsid w:val="285C6DCA"/>
    <w:rsid w:val="286D463C"/>
    <w:rsid w:val="291B0A33"/>
    <w:rsid w:val="29916F47"/>
    <w:rsid w:val="2A936DFF"/>
    <w:rsid w:val="2B4D23F9"/>
    <w:rsid w:val="2C247E99"/>
    <w:rsid w:val="2C632468"/>
    <w:rsid w:val="2C7A3CC3"/>
    <w:rsid w:val="2CFA3055"/>
    <w:rsid w:val="2D2307FE"/>
    <w:rsid w:val="2D9B65E7"/>
    <w:rsid w:val="2DA33405"/>
    <w:rsid w:val="2E4C78E1"/>
    <w:rsid w:val="2E604F7C"/>
    <w:rsid w:val="2E6609A2"/>
    <w:rsid w:val="2E7E2FE0"/>
    <w:rsid w:val="2EA2760D"/>
    <w:rsid w:val="2EDC2A13"/>
    <w:rsid w:val="2F0902B7"/>
    <w:rsid w:val="2F1877C3"/>
    <w:rsid w:val="2F4920C0"/>
    <w:rsid w:val="2F633134"/>
    <w:rsid w:val="2F7215C9"/>
    <w:rsid w:val="2FB475A5"/>
    <w:rsid w:val="2FED0C50"/>
    <w:rsid w:val="311E37B6"/>
    <w:rsid w:val="317E4255"/>
    <w:rsid w:val="317F3B29"/>
    <w:rsid w:val="318A0E4C"/>
    <w:rsid w:val="332B5883"/>
    <w:rsid w:val="33EB36F8"/>
    <w:rsid w:val="33FB7DDF"/>
    <w:rsid w:val="342E2B27"/>
    <w:rsid w:val="35A61FCC"/>
    <w:rsid w:val="35D71185"/>
    <w:rsid w:val="360B0081"/>
    <w:rsid w:val="37A91900"/>
    <w:rsid w:val="384B29B7"/>
    <w:rsid w:val="384D4981"/>
    <w:rsid w:val="38B7004D"/>
    <w:rsid w:val="38C96FF9"/>
    <w:rsid w:val="38E770D5"/>
    <w:rsid w:val="38FD0155"/>
    <w:rsid w:val="3969753C"/>
    <w:rsid w:val="39A44A75"/>
    <w:rsid w:val="3A1D70AA"/>
    <w:rsid w:val="3A652CCE"/>
    <w:rsid w:val="3A756774"/>
    <w:rsid w:val="3A900B55"/>
    <w:rsid w:val="3ADC48A5"/>
    <w:rsid w:val="3AF410E4"/>
    <w:rsid w:val="3AF608B4"/>
    <w:rsid w:val="3B0965D5"/>
    <w:rsid w:val="3B2C6AD0"/>
    <w:rsid w:val="3B47390A"/>
    <w:rsid w:val="3B4A51A8"/>
    <w:rsid w:val="3C187054"/>
    <w:rsid w:val="3C1C0565"/>
    <w:rsid w:val="3C1D466B"/>
    <w:rsid w:val="3CD92C87"/>
    <w:rsid w:val="3CEE3C58"/>
    <w:rsid w:val="3D491BBB"/>
    <w:rsid w:val="3D981C44"/>
    <w:rsid w:val="3DC16F07"/>
    <w:rsid w:val="3E426AC0"/>
    <w:rsid w:val="3EB5502E"/>
    <w:rsid w:val="3EBA4F1D"/>
    <w:rsid w:val="3EFB5137"/>
    <w:rsid w:val="3F9738E4"/>
    <w:rsid w:val="3F9F1F66"/>
    <w:rsid w:val="3FEA0D08"/>
    <w:rsid w:val="405F3261"/>
    <w:rsid w:val="409273D5"/>
    <w:rsid w:val="409F7D44"/>
    <w:rsid w:val="40B76E3C"/>
    <w:rsid w:val="40BB6E5F"/>
    <w:rsid w:val="40E13EB9"/>
    <w:rsid w:val="40F025E8"/>
    <w:rsid w:val="4159198A"/>
    <w:rsid w:val="418E14ED"/>
    <w:rsid w:val="423F533B"/>
    <w:rsid w:val="42B71375"/>
    <w:rsid w:val="42F9198D"/>
    <w:rsid w:val="43016A94"/>
    <w:rsid w:val="43100A85"/>
    <w:rsid w:val="433C7ACC"/>
    <w:rsid w:val="43923B90"/>
    <w:rsid w:val="439D303D"/>
    <w:rsid w:val="443A0785"/>
    <w:rsid w:val="444E3F5B"/>
    <w:rsid w:val="44A361F7"/>
    <w:rsid w:val="44AA3130"/>
    <w:rsid w:val="45062140"/>
    <w:rsid w:val="45284275"/>
    <w:rsid w:val="455E3D2A"/>
    <w:rsid w:val="456450B8"/>
    <w:rsid w:val="45D1274E"/>
    <w:rsid w:val="460A5C60"/>
    <w:rsid w:val="46236D21"/>
    <w:rsid w:val="46821C9A"/>
    <w:rsid w:val="46935C55"/>
    <w:rsid w:val="46AE6F33"/>
    <w:rsid w:val="46F10BCE"/>
    <w:rsid w:val="47347438"/>
    <w:rsid w:val="476A3440"/>
    <w:rsid w:val="47B70B94"/>
    <w:rsid w:val="48482A6F"/>
    <w:rsid w:val="48952158"/>
    <w:rsid w:val="48A203D1"/>
    <w:rsid w:val="48AD51DE"/>
    <w:rsid w:val="48B40105"/>
    <w:rsid w:val="492A037F"/>
    <w:rsid w:val="497C56D0"/>
    <w:rsid w:val="49E8763C"/>
    <w:rsid w:val="49EA0282"/>
    <w:rsid w:val="4A1B48DF"/>
    <w:rsid w:val="4A2A68D0"/>
    <w:rsid w:val="4A6242BC"/>
    <w:rsid w:val="4A8F7895"/>
    <w:rsid w:val="4ACD18C8"/>
    <w:rsid w:val="4B661B8A"/>
    <w:rsid w:val="4B7C13AE"/>
    <w:rsid w:val="4B9425A7"/>
    <w:rsid w:val="4BDB17F8"/>
    <w:rsid w:val="4C3C0B3D"/>
    <w:rsid w:val="4C942727"/>
    <w:rsid w:val="4CAE37E9"/>
    <w:rsid w:val="4CC4594D"/>
    <w:rsid w:val="4D4C4DB0"/>
    <w:rsid w:val="4D73501E"/>
    <w:rsid w:val="4DA03ACE"/>
    <w:rsid w:val="4DBB3E6B"/>
    <w:rsid w:val="4E17716C"/>
    <w:rsid w:val="4E8567CB"/>
    <w:rsid w:val="4EDE5EDB"/>
    <w:rsid w:val="4F053468"/>
    <w:rsid w:val="4F1B712F"/>
    <w:rsid w:val="4F624D5E"/>
    <w:rsid w:val="4F6463E1"/>
    <w:rsid w:val="500B71A4"/>
    <w:rsid w:val="50242014"/>
    <w:rsid w:val="505428F9"/>
    <w:rsid w:val="51154BFB"/>
    <w:rsid w:val="51A258E6"/>
    <w:rsid w:val="5224454D"/>
    <w:rsid w:val="522E2035"/>
    <w:rsid w:val="525F123E"/>
    <w:rsid w:val="52C13C29"/>
    <w:rsid w:val="52D970E6"/>
    <w:rsid w:val="53990623"/>
    <w:rsid w:val="53B52B8D"/>
    <w:rsid w:val="53EE096F"/>
    <w:rsid w:val="54DC110F"/>
    <w:rsid w:val="54ED7073"/>
    <w:rsid w:val="54FA3343"/>
    <w:rsid w:val="55142657"/>
    <w:rsid w:val="55456CB4"/>
    <w:rsid w:val="5612303A"/>
    <w:rsid w:val="56293EE0"/>
    <w:rsid w:val="56300645"/>
    <w:rsid w:val="56A65531"/>
    <w:rsid w:val="56E758FA"/>
    <w:rsid w:val="57154464"/>
    <w:rsid w:val="57B819BF"/>
    <w:rsid w:val="57CA524F"/>
    <w:rsid w:val="57D1482F"/>
    <w:rsid w:val="588C5A6D"/>
    <w:rsid w:val="592C79A3"/>
    <w:rsid w:val="596D4A2C"/>
    <w:rsid w:val="597B0EF6"/>
    <w:rsid w:val="5A074538"/>
    <w:rsid w:val="5A1B4BD1"/>
    <w:rsid w:val="5A1B6236"/>
    <w:rsid w:val="5A3D61AC"/>
    <w:rsid w:val="5A47527D"/>
    <w:rsid w:val="5AF44393"/>
    <w:rsid w:val="5B1433B1"/>
    <w:rsid w:val="5B37709F"/>
    <w:rsid w:val="5BA26C0E"/>
    <w:rsid w:val="5BD36320"/>
    <w:rsid w:val="5BD62414"/>
    <w:rsid w:val="5BF136F2"/>
    <w:rsid w:val="5C1271C4"/>
    <w:rsid w:val="5CA50038"/>
    <w:rsid w:val="5D445914"/>
    <w:rsid w:val="5DB073BD"/>
    <w:rsid w:val="5E60690D"/>
    <w:rsid w:val="5E8C5954"/>
    <w:rsid w:val="5EB6477F"/>
    <w:rsid w:val="5EDD1D0C"/>
    <w:rsid w:val="5EDF7832"/>
    <w:rsid w:val="5F03444C"/>
    <w:rsid w:val="5F942D12"/>
    <w:rsid w:val="5F97010C"/>
    <w:rsid w:val="5F9E149B"/>
    <w:rsid w:val="5FC01AAC"/>
    <w:rsid w:val="60340051"/>
    <w:rsid w:val="608B0431"/>
    <w:rsid w:val="60CF1FB5"/>
    <w:rsid w:val="60F11E42"/>
    <w:rsid w:val="60FF240D"/>
    <w:rsid w:val="613F6CAD"/>
    <w:rsid w:val="617A0A1C"/>
    <w:rsid w:val="618C591F"/>
    <w:rsid w:val="61B44BF7"/>
    <w:rsid w:val="61B53A89"/>
    <w:rsid w:val="61C55405"/>
    <w:rsid w:val="630512A0"/>
    <w:rsid w:val="63307853"/>
    <w:rsid w:val="634525C3"/>
    <w:rsid w:val="635A5020"/>
    <w:rsid w:val="637013A0"/>
    <w:rsid w:val="639C03E7"/>
    <w:rsid w:val="64234664"/>
    <w:rsid w:val="642B7E31"/>
    <w:rsid w:val="64654DEB"/>
    <w:rsid w:val="6476114F"/>
    <w:rsid w:val="64A137DB"/>
    <w:rsid w:val="64F1206D"/>
    <w:rsid w:val="64FB738F"/>
    <w:rsid w:val="6562079B"/>
    <w:rsid w:val="65AA14C9"/>
    <w:rsid w:val="65BA6903"/>
    <w:rsid w:val="65E762A0"/>
    <w:rsid w:val="661C117A"/>
    <w:rsid w:val="663A7259"/>
    <w:rsid w:val="66482160"/>
    <w:rsid w:val="66886796"/>
    <w:rsid w:val="66A03D4A"/>
    <w:rsid w:val="67397CFB"/>
    <w:rsid w:val="673D6718"/>
    <w:rsid w:val="67627252"/>
    <w:rsid w:val="67851192"/>
    <w:rsid w:val="67D363A2"/>
    <w:rsid w:val="684B396E"/>
    <w:rsid w:val="689C49E5"/>
    <w:rsid w:val="68DE6DAC"/>
    <w:rsid w:val="691F1760"/>
    <w:rsid w:val="69360996"/>
    <w:rsid w:val="695B03FD"/>
    <w:rsid w:val="69913E1E"/>
    <w:rsid w:val="69A60F3C"/>
    <w:rsid w:val="69E93C5A"/>
    <w:rsid w:val="6A077D43"/>
    <w:rsid w:val="6A425119"/>
    <w:rsid w:val="6BFD579B"/>
    <w:rsid w:val="6C154E66"/>
    <w:rsid w:val="6CBC5656"/>
    <w:rsid w:val="6CE95D1F"/>
    <w:rsid w:val="6D41709A"/>
    <w:rsid w:val="6D756624"/>
    <w:rsid w:val="6DC01176"/>
    <w:rsid w:val="6E182D60"/>
    <w:rsid w:val="6E192634"/>
    <w:rsid w:val="6EC33686"/>
    <w:rsid w:val="6F42021D"/>
    <w:rsid w:val="6FA73E9E"/>
    <w:rsid w:val="6FB40867"/>
    <w:rsid w:val="6FD131C7"/>
    <w:rsid w:val="6FFD3FBC"/>
    <w:rsid w:val="705067E1"/>
    <w:rsid w:val="705D0EFE"/>
    <w:rsid w:val="70AE5DB9"/>
    <w:rsid w:val="71DC40A5"/>
    <w:rsid w:val="7298621E"/>
    <w:rsid w:val="729E4042"/>
    <w:rsid w:val="72E6342D"/>
    <w:rsid w:val="73125FD0"/>
    <w:rsid w:val="73584FE4"/>
    <w:rsid w:val="7375030D"/>
    <w:rsid w:val="739C1D3D"/>
    <w:rsid w:val="73B61FEA"/>
    <w:rsid w:val="73C03C7E"/>
    <w:rsid w:val="74454183"/>
    <w:rsid w:val="76805946"/>
    <w:rsid w:val="76F374B5"/>
    <w:rsid w:val="773A3D47"/>
    <w:rsid w:val="779A47E6"/>
    <w:rsid w:val="77C91623"/>
    <w:rsid w:val="77F79321"/>
    <w:rsid w:val="7808308A"/>
    <w:rsid w:val="78675C69"/>
    <w:rsid w:val="78715547"/>
    <w:rsid w:val="78970D25"/>
    <w:rsid w:val="78A9515A"/>
    <w:rsid w:val="79440EAD"/>
    <w:rsid w:val="799314ED"/>
    <w:rsid w:val="79CD0EA3"/>
    <w:rsid w:val="79D313F3"/>
    <w:rsid w:val="79F40ECE"/>
    <w:rsid w:val="7A08012D"/>
    <w:rsid w:val="7A6510DB"/>
    <w:rsid w:val="7B8B0774"/>
    <w:rsid w:val="7BB61791"/>
    <w:rsid w:val="7C1D7794"/>
    <w:rsid w:val="7C75312C"/>
    <w:rsid w:val="7C777E09"/>
    <w:rsid w:val="7CB63E70"/>
    <w:rsid w:val="7CED53B8"/>
    <w:rsid w:val="7CF84488"/>
    <w:rsid w:val="7D4F6073"/>
    <w:rsid w:val="7E0E1A8A"/>
    <w:rsid w:val="7E5020A2"/>
    <w:rsid w:val="7E576F8D"/>
    <w:rsid w:val="7E8F55C4"/>
    <w:rsid w:val="7EF649F8"/>
    <w:rsid w:val="7F160BF6"/>
    <w:rsid w:val="7F967F89"/>
    <w:rsid w:val="7FB41CEA"/>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next w:val="4"/>
    <w:qFormat/>
    <w:uiPriority w:val="0"/>
    <w:pPr>
      <w:spacing w:after="120"/>
      <w:jc w:val="left"/>
    </w:pPr>
    <w:rPr>
      <w:rFonts w:ascii="Times New Roman" w:hAnsi="Times New Roman"/>
      <w:szCs w:val="20"/>
      <w:lang w:eastAsia="zh-TW"/>
    </w:rPr>
  </w:style>
  <w:style w:type="paragraph" w:styleId="4">
    <w:name w:val="Body Text 2"/>
    <w:basedOn w:val="1"/>
    <w:qFormat/>
    <w:uiPriority w:val="0"/>
    <w:pPr>
      <w:adjustRightInd w:val="0"/>
      <w:spacing w:after="120" w:line="480" w:lineRule="auto"/>
      <w:jc w:val="left"/>
      <w:textAlignment w:val="baseline"/>
    </w:pPr>
    <w:rPr>
      <w:rFonts w:ascii="Times New Roman" w:hAnsi="Times New Roman"/>
      <w:kern w:val="0"/>
      <w:szCs w:val="20"/>
    </w:rPr>
  </w:style>
  <w:style w:type="paragraph" w:styleId="5">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6">
    <w:name w:val="Normal (Web)"/>
    <w:basedOn w:val="1"/>
    <w:qFormat/>
    <w:uiPriority w:val="99"/>
    <w:pPr>
      <w:spacing w:beforeAutospacing="1" w:afterAutospacing="1"/>
      <w:jc w:val="left"/>
    </w:pPr>
    <w:rPr>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0">
    <w:name w:val="No Spacing"/>
    <w:qFormat/>
    <w:uiPriority w:val="1"/>
    <w:pPr>
      <w:widowControl w:val="0"/>
      <w:jc w:val="both"/>
    </w:pPr>
    <w:rPr>
      <w:rFonts w:ascii="Calibri" w:hAnsi="Calibri" w:eastAsia="宋体" w:cs="Times New Roman"/>
      <w:kern w:val="2"/>
      <w:sz w:val="21"/>
      <w:szCs w:val="22"/>
      <w:lang w:val="en-US" w:eastAsia="zh-CN" w:bidi="ar-SA"/>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42</Pages>
  <Words>245</Words>
  <Characters>266</Characters>
  <Lines>0</Lines>
  <Paragraphs>0</Paragraphs>
  <TotalTime>0</TotalTime>
  <ScaleCrop>false</ScaleCrop>
  <LinksUpToDate>false</LinksUpToDate>
  <CharactersWithSpaces>267</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刘朝然</cp:lastModifiedBy>
  <dcterms:modified xsi:type="dcterms:W3CDTF">2026-07-10T07:26:12Z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KSOTemplateDocerSaveRecord">
    <vt:lpwstr>eyJoZGlkIjoiYWJhZTA5NTBhM2JlYTAyM2RkNjBjZWNkZmNhMzEzN2IiLCJ1c2VySWQiOiIxNDc4MjUzNDUyIn0=</vt:lpwstr>
  </property>
  <property fmtid="{D5CDD505-2E9C-101B-9397-08002B2CF9AE}" pid="4" name="ICV">
    <vt:lpwstr>FD6E6621B4064AC9A36881E4C6B66158_13</vt:lpwstr>
  </property>
</Properties>
</file>