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C11689">
      <w:pPr>
        <w:jc w:val="center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方正小标宋简体" w:hAnsi="方正小标宋简体" w:eastAsia="方正小标宋简体" w:cs="方正小标宋简体"/>
          <w:snapToGrid/>
          <w:color w:val="auto"/>
          <w:sz w:val="44"/>
          <w:szCs w:val="44"/>
          <w:lang w:val="en-US" w:eastAsia="zh-CN"/>
        </w:rPr>
        <w:t>商务要求偏离表</w:t>
      </w:r>
    </w:p>
    <w:p w14:paraId="5409BC0D">
      <w:pPr>
        <w:pStyle w:val="6"/>
        <w:jc w:val="both"/>
        <w:rPr>
          <w:rFonts w:ascii="仿宋_GB2312" w:hAnsi="仿宋_GB2312" w:eastAsia="仿宋_GB2312" w:cs="仿宋_GB2312"/>
        </w:rPr>
      </w:pPr>
    </w:p>
    <w:tbl>
      <w:tblPr>
        <w:tblStyle w:val="4"/>
        <w:tblW w:w="8747" w:type="dxa"/>
        <w:tblInd w:w="-21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"/>
        <w:gridCol w:w="1187"/>
        <w:gridCol w:w="3693"/>
        <w:gridCol w:w="2014"/>
        <w:gridCol w:w="1173"/>
      </w:tblGrid>
      <w:tr w14:paraId="3DA306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80D998">
            <w:pPr>
              <w:pStyle w:val="6"/>
              <w:jc w:val="both"/>
              <w:rPr>
                <w:rFonts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序号</w:t>
            </w:r>
          </w:p>
        </w:tc>
        <w:tc>
          <w:tcPr>
            <w:tcW w:w="1187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23DE44">
            <w:pPr>
              <w:pStyle w:val="6"/>
              <w:jc w:val="both"/>
              <w:rPr>
                <w:rFonts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类型</w:t>
            </w:r>
          </w:p>
        </w:tc>
        <w:tc>
          <w:tcPr>
            <w:tcW w:w="369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6F5035">
            <w:pPr>
              <w:pStyle w:val="6"/>
              <w:jc w:val="both"/>
              <w:rPr>
                <w:rFonts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要求</w:t>
            </w:r>
          </w:p>
        </w:tc>
        <w:tc>
          <w:tcPr>
            <w:tcW w:w="201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6B07C5D">
            <w:pPr>
              <w:pStyle w:val="6"/>
              <w:jc w:val="both"/>
              <w:rPr>
                <w:rFonts w:hint="default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偏离情况</w:t>
            </w:r>
          </w:p>
        </w:tc>
        <w:tc>
          <w:tcPr>
            <w:tcW w:w="117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FE97972">
            <w:pPr>
              <w:pStyle w:val="6"/>
              <w:jc w:val="both"/>
              <w:rPr>
                <w:rFonts w:hint="default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说明</w:t>
            </w:r>
          </w:p>
        </w:tc>
      </w:tr>
      <w:tr w14:paraId="2744C3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ABCDDA6">
            <w:pPr>
              <w:pStyle w:val="6"/>
              <w:jc w:val="both"/>
              <w:rPr>
                <w:rFonts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1</w:t>
            </w:r>
          </w:p>
        </w:tc>
        <w:tc>
          <w:tcPr>
            <w:tcW w:w="1187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62F3F3">
            <w:pPr>
              <w:pStyle w:val="6"/>
              <w:jc w:val="both"/>
              <w:rPr>
                <w:rFonts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  <w:sz w:val="19"/>
              </w:rPr>
              <w:t>支付方式</w:t>
            </w:r>
          </w:p>
        </w:tc>
        <w:tc>
          <w:tcPr>
            <w:tcW w:w="369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55E0CC6">
            <w:pPr>
              <w:pStyle w:val="6"/>
              <w:jc w:val="both"/>
              <w:rPr>
                <w:rFonts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  <w:sz w:val="19"/>
              </w:rPr>
              <w:t>一次付清或多次付清。</w:t>
            </w:r>
          </w:p>
        </w:tc>
        <w:tc>
          <w:tcPr>
            <w:tcW w:w="201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8C532F">
            <w:pPr>
              <w:pStyle w:val="6"/>
              <w:jc w:val="both"/>
              <w:rPr>
                <w:rFonts w:ascii="仿宋_GB2312" w:hAnsi="仿宋_GB2312" w:eastAsia="仿宋_GB2312" w:cs="仿宋_GB2312"/>
                <w:sz w:val="19"/>
              </w:rPr>
            </w:pPr>
          </w:p>
        </w:tc>
        <w:tc>
          <w:tcPr>
            <w:tcW w:w="117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277EB48">
            <w:pPr>
              <w:pStyle w:val="6"/>
              <w:jc w:val="both"/>
              <w:rPr>
                <w:rFonts w:ascii="仿宋_GB2312" w:hAnsi="仿宋_GB2312" w:eastAsia="仿宋_GB2312" w:cs="仿宋_GB2312"/>
                <w:sz w:val="19"/>
              </w:rPr>
            </w:pPr>
          </w:p>
        </w:tc>
      </w:tr>
      <w:tr w14:paraId="6F12C5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5D8115E">
            <w:pPr>
              <w:pStyle w:val="6"/>
              <w:jc w:val="both"/>
              <w:rPr>
                <w:rFonts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2</w:t>
            </w:r>
          </w:p>
        </w:tc>
        <w:tc>
          <w:tcPr>
            <w:tcW w:w="1187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711877">
            <w:pPr>
              <w:pStyle w:val="6"/>
              <w:jc w:val="both"/>
              <w:rPr>
                <w:rFonts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  <w:sz w:val="19"/>
              </w:rPr>
              <w:t>交货期限</w:t>
            </w:r>
          </w:p>
        </w:tc>
        <w:tc>
          <w:tcPr>
            <w:tcW w:w="369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B9A0145">
            <w:pPr>
              <w:pStyle w:val="6"/>
              <w:jc w:val="both"/>
              <w:rPr>
                <w:rFonts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  <w:sz w:val="19"/>
              </w:rPr>
              <w:t>7个工作日内完成交货，采购双方协商一致的除外。</w:t>
            </w:r>
          </w:p>
        </w:tc>
        <w:tc>
          <w:tcPr>
            <w:tcW w:w="201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3D0514B">
            <w:pPr>
              <w:pStyle w:val="6"/>
              <w:jc w:val="both"/>
              <w:rPr>
                <w:rFonts w:ascii="仿宋_GB2312" w:hAnsi="仿宋_GB2312" w:eastAsia="仿宋_GB2312" w:cs="仿宋_GB2312"/>
                <w:sz w:val="19"/>
              </w:rPr>
            </w:pPr>
          </w:p>
        </w:tc>
        <w:tc>
          <w:tcPr>
            <w:tcW w:w="117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7EE9010">
            <w:pPr>
              <w:pStyle w:val="6"/>
              <w:jc w:val="both"/>
              <w:rPr>
                <w:rFonts w:ascii="仿宋_GB2312" w:hAnsi="仿宋_GB2312" w:eastAsia="仿宋_GB2312" w:cs="仿宋_GB2312"/>
                <w:sz w:val="19"/>
              </w:rPr>
            </w:pPr>
          </w:p>
        </w:tc>
      </w:tr>
      <w:tr w14:paraId="2515DE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7E21544">
            <w:pPr>
              <w:pStyle w:val="6"/>
              <w:jc w:val="both"/>
              <w:rPr>
                <w:rFonts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3</w:t>
            </w:r>
          </w:p>
        </w:tc>
        <w:tc>
          <w:tcPr>
            <w:tcW w:w="1187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C7593AC">
            <w:pPr>
              <w:pStyle w:val="6"/>
              <w:jc w:val="both"/>
              <w:rPr>
                <w:rFonts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  <w:sz w:val="19"/>
              </w:rPr>
              <w:t>交货的地域范围</w:t>
            </w:r>
          </w:p>
        </w:tc>
        <w:tc>
          <w:tcPr>
            <w:tcW w:w="369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87B845">
            <w:pPr>
              <w:pStyle w:val="6"/>
              <w:jc w:val="both"/>
              <w:rPr>
                <w:rFonts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  <w:sz w:val="19"/>
              </w:rPr>
              <w:t>深圳市</w:t>
            </w:r>
            <w:r>
              <w:rPr>
                <w:rFonts w:hint="eastAsia" w:ascii="仿宋_GB2312" w:hAnsi="仿宋_GB2312" w:eastAsia="仿宋_GB2312" w:cs="仿宋_GB2312"/>
                <w:sz w:val="19"/>
                <w:lang w:val="en-US" w:eastAsia="zh-CN"/>
              </w:rPr>
              <w:t>,包含</w:t>
            </w:r>
            <w:r>
              <w:rPr>
                <w:rFonts w:ascii="仿宋_GB2312" w:hAnsi="仿宋_GB2312" w:eastAsia="仿宋_GB2312" w:cs="仿宋_GB2312"/>
                <w:sz w:val="19"/>
              </w:rPr>
              <w:t>市本级、罗湖区、福田区、南山区、宝安区、龙岗区、盐田区、龙华区、坪山区、光明区、大鹏新区、深汕特别行政区。</w:t>
            </w:r>
          </w:p>
        </w:tc>
        <w:tc>
          <w:tcPr>
            <w:tcW w:w="201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74ADACD">
            <w:pPr>
              <w:pStyle w:val="6"/>
              <w:jc w:val="both"/>
              <w:rPr>
                <w:rFonts w:ascii="仿宋_GB2312" w:hAnsi="仿宋_GB2312" w:eastAsia="仿宋_GB2312" w:cs="仿宋_GB2312"/>
                <w:sz w:val="19"/>
              </w:rPr>
            </w:pPr>
          </w:p>
        </w:tc>
        <w:tc>
          <w:tcPr>
            <w:tcW w:w="117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7AEC5F8">
            <w:pPr>
              <w:pStyle w:val="6"/>
              <w:jc w:val="both"/>
              <w:rPr>
                <w:rFonts w:ascii="仿宋_GB2312" w:hAnsi="仿宋_GB2312" w:eastAsia="仿宋_GB2312" w:cs="仿宋_GB2312"/>
                <w:sz w:val="19"/>
              </w:rPr>
            </w:pPr>
          </w:p>
        </w:tc>
      </w:tr>
      <w:tr w14:paraId="79A33D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274677F">
            <w:pPr>
              <w:pStyle w:val="6"/>
              <w:jc w:val="both"/>
              <w:rPr>
                <w:rFonts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4</w:t>
            </w:r>
          </w:p>
        </w:tc>
        <w:tc>
          <w:tcPr>
            <w:tcW w:w="1187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0A2229">
            <w:pPr>
              <w:pStyle w:val="6"/>
              <w:jc w:val="both"/>
              <w:rPr>
                <w:rFonts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  <w:sz w:val="19"/>
              </w:rPr>
              <w:t>产品升级换代规则</w:t>
            </w:r>
          </w:p>
        </w:tc>
        <w:tc>
          <w:tcPr>
            <w:tcW w:w="369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58547B3">
            <w:pPr>
              <w:pStyle w:val="6"/>
              <w:jc w:val="both"/>
            </w:pPr>
            <w:r>
              <w:rPr>
                <w:rFonts w:ascii="仿宋_GB2312" w:hAnsi="仿宋_GB2312" w:eastAsia="仿宋_GB2312" w:cs="仿宋_GB2312"/>
                <w:sz w:val="19"/>
              </w:rPr>
              <w:t>支持。</w:t>
            </w:r>
          </w:p>
          <w:p w14:paraId="4EF870D3">
            <w:pPr>
              <w:pStyle w:val="6"/>
              <w:jc w:val="both"/>
              <w:rPr>
                <w:rFonts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  <w:sz w:val="19"/>
              </w:rPr>
              <w:t>因产品升级换代，在质量不降低、价格不提高的前提下，入围供应商可用新产品替代原入围产品，由征集人对该情形进行审核。若产品市场价格下降，入围供应商应及时下调产品价格。</w:t>
            </w:r>
          </w:p>
        </w:tc>
        <w:tc>
          <w:tcPr>
            <w:tcW w:w="201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90FB18">
            <w:pPr>
              <w:pStyle w:val="6"/>
              <w:jc w:val="both"/>
              <w:rPr>
                <w:rFonts w:ascii="仿宋_GB2312" w:hAnsi="仿宋_GB2312" w:eastAsia="仿宋_GB2312" w:cs="仿宋_GB2312"/>
                <w:sz w:val="19"/>
              </w:rPr>
            </w:pPr>
          </w:p>
        </w:tc>
        <w:tc>
          <w:tcPr>
            <w:tcW w:w="117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F773B1">
            <w:pPr>
              <w:pStyle w:val="6"/>
              <w:jc w:val="both"/>
              <w:rPr>
                <w:rFonts w:ascii="仿宋_GB2312" w:hAnsi="仿宋_GB2312" w:eastAsia="仿宋_GB2312" w:cs="仿宋_GB2312"/>
                <w:sz w:val="19"/>
              </w:rPr>
            </w:pPr>
          </w:p>
        </w:tc>
      </w:tr>
      <w:tr w14:paraId="311A47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1DD672">
            <w:pPr>
              <w:pStyle w:val="6"/>
              <w:jc w:val="both"/>
              <w:rPr>
                <w:rFonts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5</w:t>
            </w:r>
          </w:p>
        </w:tc>
        <w:tc>
          <w:tcPr>
            <w:tcW w:w="1187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5B39EC6">
            <w:pPr>
              <w:pStyle w:val="6"/>
              <w:jc w:val="both"/>
              <w:rPr>
                <w:rFonts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  <w:sz w:val="19"/>
              </w:rPr>
              <w:t>支付时间和条件</w:t>
            </w:r>
          </w:p>
        </w:tc>
        <w:tc>
          <w:tcPr>
            <w:tcW w:w="369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2A52877">
            <w:pPr>
              <w:pStyle w:val="6"/>
              <w:jc w:val="both"/>
              <w:rPr>
                <w:rFonts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  <w:sz w:val="19"/>
              </w:rPr>
              <w:t>采购人采取“刷公务采购卡”“转账”等方式付款，在满足合同约定支付条件情况下，采购人应当及时支付货款。</w:t>
            </w:r>
          </w:p>
        </w:tc>
        <w:tc>
          <w:tcPr>
            <w:tcW w:w="201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5EADDC0">
            <w:pPr>
              <w:pStyle w:val="6"/>
              <w:jc w:val="both"/>
              <w:rPr>
                <w:rFonts w:ascii="仿宋_GB2312" w:hAnsi="仿宋_GB2312" w:eastAsia="仿宋_GB2312" w:cs="仿宋_GB2312"/>
                <w:sz w:val="19"/>
              </w:rPr>
            </w:pPr>
          </w:p>
        </w:tc>
        <w:tc>
          <w:tcPr>
            <w:tcW w:w="117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8EC93E9">
            <w:pPr>
              <w:pStyle w:val="6"/>
              <w:jc w:val="both"/>
              <w:rPr>
                <w:rFonts w:ascii="仿宋_GB2312" w:hAnsi="仿宋_GB2312" w:eastAsia="仿宋_GB2312" w:cs="仿宋_GB2312"/>
                <w:sz w:val="19"/>
              </w:rPr>
            </w:pPr>
          </w:p>
        </w:tc>
      </w:tr>
      <w:tr w14:paraId="2D6944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7203B60">
            <w:pPr>
              <w:pStyle w:val="6"/>
              <w:jc w:val="both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6</w:t>
            </w:r>
          </w:p>
        </w:tc>
        <w:tc>
          <w:tcPr>
            <w:tcW w:w="118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537782C">
            <w:pPr>
              <w:pStyle w:val="6"/>
              <w:jc w:val="both"/>
              <w:rPr>
                <w:rFonts w:hint="default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19"/>
                <w:lang w:val="en-US" w:eastAsia="zh-CN"/>
              </w:rPr>
              <w:t>售后服务</w:t>
            </w:r>
          </w:p>
        </w:tc>
        <w:tc>
          <w:tcPr>
            <w:tcW w:w="369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B3F6886">
            <w:pPr>
              <w:pStyle w:val="6"/>
              <w:jc w:val="both"/>
              <w:rPr>
                <w:rFonts w:hint="eastAsia" w:ascii="仿宋_GB2312" w:hAnsi="仿宋_GB2312" w:eastAsia="仿宋_GB2312" w:cs="仿宋_GB2312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19"/>
              </w:rPr>
              <w:t>供应商须提供</w:t>
            </w:r>
            <w:r>
              <w:rPr>
                <w:rFonts w:hint="eastAsia" w:ascii="仿宋_GB2312" w:hAnsi="仿宋_GB2312" w:eastAsia="仿宋_GB2312" w:cs="仿宋_GB2312"/>
                <w:sz w:val="19"/>
                <w:lang w:val="en-US" w:eastAsia="zh-CN"/>
              </w:rPr>
              <w:t>票据打印机</w:t>
            </w:r>
            <w:r>
              <w:rPr>
                <w:rFonts w:ascii="仿宋_GB2312" w:hAnsi="仿宋_GB2312" w:eastAsia="仿宋_GB2312" w:cs="仿宋_GB2312"/>
                <w:sz w:val="19"/>
              </w:rPr>
              <w:t>免费送货上门，免费安装服务，售后服务标准不得低于投标（响应）产品出厂市场服务标准。</w:t>
            </w:r>
          </w:p>
        </w:tc>
        <w:tc>
          <w:tcPr>
            <w:tcW w:w="2014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E2D9E9B">
            <w:pPr>
              <w:pStyle w:val="6"/>
              <w:jc w:val="both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17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424DA61">
            <w:pPr>
              <w:pStyle w:val="6"/>
              <w:jc w:val="both"/>
              <w:rPr>
                <w:rFonts w:ascii="仿宋_GB2312" w:hAnsi="仿宋_GB2312" w:eastAsia="仿宋_GB2312" w:cs="仿宋_GB2312"/>
              </w:rPr>
            </w:pPr>
          </w:p>
        </w:tc>
      </w:tr>
      <w:tr w14:paraId="629AAF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281425C">
            <w:pPr>
              <w:pStyle w:val="6"/>
              <w:jc w:val="both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7</w:t>
            </w:r>
          </w:p>
        </w:tc>
        <w:tc>
          <w:tcPr>
            <w:tcW w:w="118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33718A1">
            <w:pPr>
              <w:pStyle w:val="6"/>
              <w:jc w:val="both"/>
              <w:rPr>
                <w:rFonts w:hint="default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19"/>
                <w:lang w:val="en-US" w:eastAsia="zh-CN"/>
              </w:rPr>
              <w:t>报价要求</w:t>
            </w:r>
          </w:p>
        </w:tc>
        <w:tc>
          <w:tcPr>
            <w:tcW w:w="369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B34EB61">
            <w:pPr>
              <w:pStyle w:val="6"/>
              <w:jc w:val="both"/>
              <w:rPr>
                <w:rFonts w:hint="eastAsia" w:ascii="仿宋_GB2312" w:hAnsi="仿宋_GB2312" w:eastAsia="仿宋_GB2312" w:cs="仿宋_GB2312"/>
                <w:sz w:val="19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19"/>
                <w:lang w:val="en-US" w:eastAsia="zh-CN"/>
              </w:rPr>
              <w:t xml:space="preserve">7.1 </w:t>
            </w:r>
            <w:r>
              <w:rPr>
                <w:rFonts w:ascii="仿宋_GB2312" w:hAnsi="仿宋_GB2312" w:eastAsia="仿宋_GB2312" w:cs="仿宋_GB2312"/>
                <w:sz w:val="19"/>
              </w:rPr>
              <w:t>供应商报价的产品技术和参数必须符合本项目要求</w:t>
            </w:r>
            <w:r>
              <w:rPr>
                <w:rFonts w:hint="eastAsia" w:ascii="仿宋_GB2312" w:hAnsi="仿宋_GB2312" w:eastAsia="仿宋_GB2312" w:cs="仿宋_GB2312"/>
                <w:sz w:val="19"/>
                <w:lang w:eastAsia="zh-CN"/>
              </w:rPr>
              <w:t>；</w:t>
            </w:r>
          </w:p>
          <w:p w14:paraId="3DB29F8D">
            <w:pPr>
              <w:pStyle w:val="6"/>
              <w:jc w:val="both"/>
              <w:rPr>
                <w:rFonts w:hint="eastAsia" w:ascii="仿宋_GB2312" w:hAnsi="仿宋_GB2312" w:eastAsia="仿宋_GB2312" w:cs="仿宋_GB2312"/>
                <w:sz w:val="19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19"/>
                <w:lang w:val="en-US" w:eastAsia="zh-CN"/>
              </w:rPr>
              <w:t xml:space="preserve">7.2 </w:t>
            </w:r>
            <w:r>
              <w:rPr>
                <w:rFonts w:ascii="仿宋_GB2312" w:hAnsi="仿宋_GB2312" w:eastAsia="仿宋_GB2312" w:cs="仿宋_GB2312"/>
                <w:sz w:val="19"/>
              </w:rPr>
              <w:t>以每个产品（含自带原装耗材）单价进行报价</w:t>
            </w:r>
            <w:r>
              <w:rPr>
                <w:rFonts w:hint="eastAsia" w:ascii="仿宋_GB2312" w:hAnsi="仿宋_GB2312" w:eastAsia="仿宋_GB2312" w:cs="仿宋_GB2312"/>
                <w:sz w:val="19"/>
                <w:lang w:eastAsia="zh-CN"/>
              </w:rPr>
              <w:t>；</w:t>
            </w:r>
          </w:p>
          <w:p w14:paraId="453C703C">
            <w:pPr>
              <w:pStyle w:val="6"/>
              <w:jc w:val="both"/>
              <w:rPr>
                <w:rFonts w:hint="eastAsia" w:ascii="仿宋_GB2312" w:hAnsi="仿宋_GB2312" w:eastAsia="仿宋_GB2312" w:cs="仿宋_GB2312"/>
                <w:sz w:val="19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19"/>
                <w:lang w:val="en-US" w:eastAsia="zh-CN"/>
              </w:rPr>
              <w:t xml:space="preserve">7.3 </w:t>
            </w:r>
            <w:r>
              <w:rPr>
                <w:rFonts w:ascii="仿宋_GB2312" w:hAnsi="仿宋_GB2312" w:eastAsia="仿宋_GB2312" w:cs="仿宋_GB2312"/>
                <w:sz w:val="19"/>
              </w:rPr>
              <w:t>报价除包含货款外，还应包含但不限于产品运输、仓储、采购、生产、安装、抽样检测报检、售后服务以及人工、物耗、验收、培训、税金等全部相关工作所有可能发生的费用，即总报价</w:t>
            </w:r>
            <w:r>
              <w:rPr>
                <w:rFonts w:hint="eastAsia" w:ascii="仿宋_GB2312" w:hAnsi="仿宋_GB2312" w:eastAsia="仿宋_GB2312" w:cs="仿宋_GB2312"/>
                <w:sz w:val="19"/>
                <w:lang w:eastAsia="zh-CN"/>
              </w:rPr>
              <w:t>；</w:t>
            </w:r>
          </w:p>
          <w:p w14:paraId="254AABC6">
            <w:pPr>
              <w:pStyle w:val="6"/>
              <w:jc w:val="both"/>
              <w:rPr>
                <w:rFonts w:hint="eastAsia" w:ascii="仿宋_GB2312" w:hAnsi="仿宋_GB2312" w:eastAsia="仿宋_GB2312" w:cs="仿宋_GB2312"/>
                <w:sz w:val="19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19"/>
                <w:lang w:val="en-US" w:eastAsia="zh-CN"/>
              </w:rPr>
              <w:t>7.4 供应商在报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sz w:val="19"/>
                <w:lang w:val="en-US" w:eastAsia="zh-CN"/>
              </w:rPr>
              <w:t>价时应考虑可能发生的其他费用（如材料涨价、人工和运输成本增加等因素）；</w:t>
            </w:r>
          </w:p>
          <w:p w14:paraId="00109E35">
            <w:pPr>
              <w:pStyle w:val="6"/>
              <w:jc w:val="both"/>
              <w:rPr>
                <w:rFonts w:hint="default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19"/>
                <w:lang w:val="en-US" w:eastAsia="zh-CN"/>
              </w:rPr>
              <w:t>7.5 对本文件未列明，而供应商认为必需的费用也需列入报价。采购合同实施时，采购人将不予支付供应商没有列入的项目费用，并认为此项目的费用已包含在本次报价中。</w:t>
            </w:r>
          </w:p>
        </w:tc>
        <w:tc>
          <w:tcPr>
            <w:tcW w:w="2014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A4739C7">
            <w:pPr>
              <w:pStyle w:val="6"/>
              <w:jc w:val="both"/>
              <w:rPr>
                <w:rFonts w:hint="default" w:ascii="仿宋_GB2312" w:hAnsi="仿宋_GB2312" w:eastAsia="仿宋_GB2312" w:cs="仿宋_GB2312"/>
                <w:lang w:val="en-US" w:eastAsia="zh-CN"/>
              </w:rPr>
            </w:pPr>
          </w:p>
        </w:tc>
        <w:tc>
          <w:tcPr>
            <w:tcW w:w="117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33E9248">
            <w:pPr>
              <w:pStyle w:val="6"/>
              <w:jc w:val="both"/>
              <w:rPr>
                <w:rFonts w:hint="default" w:ascii="仿宋_GB2312" w:hAnsi="仿宋_GB2312" w:eastAsia="仿宋_GB2312" w:cs="仿宋_GB2312"/>
                <w:lang w:val="en-US" w:eastAsia="zh-CN"/>
              </w:rPr>
            </w:pPr>
          </w:p>
        </w:tc>
      </w:tr>
      <w:tr w14:paraId="0986BD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14504B3">
            <w:pPr>
              <w:pStyle w:val="6"/>
              <w:jc w:val="both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8</w:t>
            </w:r>
          </w:p>
        </w:tc>
        <w:tc>
          <w:tcPr>
            <w:tcW w:w="118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430FC7D">
            <w:pPr>
              <w:pStyle w:val="6"/>
              <w:jc w:val="both"/>
              <w:rPr>
                <w:rFonts w:hint="eastAsia" w:ascii="仿宋_GB2312" w:hAnsi="仿宋_GB2312" w:eastAsia="仿宋_GB2312" w:cs="仿宋_GB2312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sz w:val="19"/>
                <w:lang w:eastAsia="zh-CN"/>
              </w:rPr>
              <w:t>维修响应及故障解决时间</w:t>
            </w:r>
          </w:p>
        </w:tc>
        <w:tc>
          <w:tcPr>
            <w:tcW w:w="369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8D5E0F6">
            <w:pPr>
              <w:pStyle w:val="6"/>
              <w:jc w:val="both"/>
              <w:rPr>
                <w:rFonts w:hint="eastAsia" w:ascii="仿宋_GB2312" w:hAnsi="仿宋_GB2312" w:eastAsia="仿宋_GB2312" w:cs="仿宋_GB2312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19"/>
              </w:rPr>
              <w:t>提供政企专线7*24在线服务，2h电话响应，2个工作日解决问题，对于未能解决的问题和故障应提供可行的升级方案，并提供周转设备或更换设备。服务周期内提供产品的维修、换件和升级服务。</w:t>
            </w:r>
          </w:p>
        </w:tc>
        <w:tc>
          <w:tcPr>
            <w:tcW w:w="2014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EDBA8E0">
            <w:pPr>
              <w:pStyle w:val="6"/>
              <w:jc w:val="both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17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375BBAE">
            <w:pPr>
              <w:pStyle w:val="6"/>
              <w:jc w:val="both"/>
              <w:rPr>
                <w:rFonts w:ascii="仿宋_GB2312" w:hAnsi="仿宋_GB2312" w:eastAsia="仿宋_GB2312" w:cs="仿宋_GB2312"/>
              </w:rPr>
            </w:pPr>
          </w:p>
        </w:tc>
      </w:tr>
      <w:tr w14:paraId="1980DA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67AEF75">
            <w:pPr>
              <w:pStyle w:val="6"/>
              <w:jc w:val="both"/>
              <w:rPr>
                <w:rFonts w:hint="default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9</w:t>
            </w:r>
          </w:p>
        </w:tc>
        <w:tc>
          <w:tcPr>
            <w:tcW w:w="118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E60828A">
            <w:pPr>
              <w:pStyle w:val="6"/>
              <w:jc w:val="both"/>
              <w:rPr>
                <w:rFonts w:hint="default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19"/>
                <w:lang w:val="en-US" w:eastAsia="zh-CN"/>
              </w:rPr>
              <w:t>库存管理</w:t>
            </w:r>
          </w:p>
        </w:tc>
        <w:tc>
          <w:tcPr>
            <w:tcW w:w="369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650373B">
            <w:pPr>
              <w:pStyle w:val="6"/>
              <w:jc w:val="both"/>
              <w:rPr>
                <w:rFonts w:hint="eastAsia" w:ascii="仿宋_GB2312" w:hAnsi="仿宋_GB2312" w:cs="仿宋_GB2312" w:eastAsiaTheme="minorEastAsia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19"/>
                <w:lang w:val="en-US" w:eastAsia="zh-CN"/>
              </w:rPr>
              <w:t>因库存维护不及时、价格维护不及时而影响采购人下单的，自愿接受征集人按本征集文件及相关规定进行处理。</w:t>
            </w:r>
          </w:p>
        </w:tc>
        <w:tc>
          <w:tcPr>
            <w:tcW w:w="2014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6B46F85">
            <w:pPr>
              <w:pStyle w:val="6"/>
              <w:jc w:val="both"/>
              <w:rPr>
                <w:color w:val="FF0000"/>
              </w:rPr>
            </w:pPr>
          </w:p>
        </w:tc>
        <w:tc>
          <w:tcPr>
            <w:tcW w:w="117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8931076">
            <w:pPr>
              <w:pStyle w:val="6"/>
              <w:jc w:val="both"/>
              <w:rPr>
                <w:color w:val="FF0000"/>
              </w:rPr>
            </w:pPr>
          </w:p>
        </w:tc>
      </w:tr>
      <w:tr w14:paraId="4A85D2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DC5D035">
            <w:pPr>
              <w:pStyle w:val="6"/>
              <w:jc w:val="both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19"/>
                <w:lang w:val="en-US" w:eastAsia="zh-CN"/>
              </w:rPr>
              <w:t>10</w:t>
            </w:r>
          </w:p>
        </w:tc>
        <w:tc>
          <w:tcPr>
            <w:tcW w:w="1187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3652C14">
            <w:pPr>
              <w:pStyle w:val="6"/>
              <w:jc w:val="both"/>
            </w:pPr>
            <w:r>
              <w:rPr>
                <w:rFonts w:ascii="仿宋_GB2312" w:hAnsi="仿宋_GB2312" w:eastAsia="仿宋_GB2312" w:cs="仿宋_GB2312"/>
                <w:sz w:val="19"/>
              </w:rPr>
              <w:t>其他</w:t>
            </w:r>
          </w:p>
        </w:tc>
        <w:tc>
          <w:tcPr>
            <w:tcW w:w="369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6AE8D4">
            <w:pPr>
              <w:pStyle w:val="6"/>
              <w:jc w:val="both"/>
              <w:rPr>
                <w:rFonts w:ascii="仿宋_GB2312" w:hAnsi="仿宋_GB2312" w:eastAsia="仿宋_GB2312" w:cs="仿宋_GB2312"/>
                <w:sz w:val="19"/>
              </w:rPr>
            </w:pPr>
            <w:r>
              <w:rPr>
                <w:rFonts w:hint="eastAsia" w:ascii="仿宋_GB2312" w:hAnsi="仿宋_GB2312" w:eastAsia="仿宋_GB2312" w:cs="仿宋_GB2312"/>
                <w:sz w:val="19"/>
                <w:lang w:val="en-US" w:eastAsia="zh-CN"/>
              </w:rPr>
              <w:t>1</w:t>
            </w:r>
            <w:r>
              <w:rPr>
                <w:rFonts w:ascii="仿宋_GB2312" w:hAnsi="仿宋_GB2312" w:eastAsia="仿宋_GB2312" w:cs="仿宋_GB2312"/>
                <w:sz w:val="19"/>
              </w:rPr>
              <w:t>.供应商投标（响应）的货物须符合国家相关产业政策，合法销售、原厂原装、全新正品，符合国家三包政策；</w:t>
            </w:r>
          </w:p>
          <w:p w14:paraId="1159DD22">
            <w:pPr>
              <w:pStyle w:val="6"/>
              <w:jc w:val="both"/>
              <w:rPr>
                <w:rFonts w:ascii="仿宋_GB2312" w:hAnsi="仿宋_GB2312" w:eastAsia="仿宋_GB2312" w:cs="仿宋_GB2312"/>
                <w:sz w:val="19"/>
              </w:rPr>
            </w:pPr>
            <w:r>
              <w:rPr>
                <w:rFonts w:hint="eastAsia" w:ascii="仿宋_GB2312" w:hAnsi="仿宋_GB2312" w:eastAsia="仿宋_GB2312" w:cs="仿宋_GB2312"/>
                <w:sz w:val="19"/>
                <w:lang w:val="en-US" w:eastAsia="zh-CN"/>
              </w:rPr>
              <w:t>2</w:t>
            </w:r>
            <w:r>
              <w:rPr>
                <w:rFonts w:ascii="仿宋_GB2312" w:hAnsi="仿宋_GB2312" w:eastAsia="仿宋_GB2312" w:cs="仿宋_GB2312"/>
                <w:sz w:val="19"/>
              </w:rPr>
              <w:t>.在框架协议期间，入围产品价格为合同授予阶段最高限价，不得上调；</w:t>
            </w:r>
          </w:p>
          <w:p w14:paraId="26B87123">
            <w:pPr>
              <w:pStyle w:val="6"/>
              <w:jc w:val="both"/>
              <w:rPr>
                <w:rFonts w:ascii="仿宋_GB2312" w:hAnsi="仿宋_GB2312" w:eastAsia="仿宋_GB2312" w:cs="仿宋_GB2312"/>
                <w:sz w:val="19"/>
              </w:rPr>
            </w:pPr>
            <w:r>
              <w:rPr>
                <w:rFonts w:hint="eastAsia" w:ascii="仿宋_GB2312" w:hAnsi="仿宋_GB2312" w:eastAsia="仿宋_GB2312" w:cs="仿宋_GB2312"/>
                <w:sz w:val="19"/>
                <w:lang w:val="en-US" w:eastAsia="zh-CN"/>
              </w:rPr>
              <w:t>3</w:t>
            </w:r>
            <w:r>
              <w:rPr>
                <w:rFonts w:ascii="仿宋_GB2312" w:hAnsi="仿宋_GB2312" w:eastAsia="仿宋_GB2312" w:cs="仿宋_GB2312"/>
                <w:sz w:val="19"/>
              </w:rPr>
              <w:t>.若入围价格过高，征集人有权要求供应商下调产品价格；</w:t>
            </w:r>
          </w:p>
          <w:p w14:paraId="089024BB">
            <w:pPr>
              <w:pStyle w:val="6"/>
              <w:jc w:val="both"/>
              <w:rPr>
                <w:rFonts w:ascii="仿宋_GB2312" w:hAnsi="仿宋_GB2312" w:eastAsia="仿宋_GB2312" w:cs="仿宋_GB2312"/>
                <w:sz w:val="19"/>
              </w:rPr>
            </w:pPr>
            <w:r>
              <w:rPr>
                <w:rFonts w:hint="eastAsia" w:ascii="仿宋_GB2312" w:hAnsi="仿宋_GB2312" w:eastAsia="仿宋_GB2312" w:cs="仿宋_GB2312"/>
                <w:sz w:val="19"/>
                <w:lang w:val="en-US" w:eastAsia="zh-CN"/>
              </w:rPr>
              <w:t>4</w:t>
            </w:r>
            <w:r>
              <w:rPr>
                <w:rFonts w:ascii="仿宋_GB2312" w:hAnsi="仿宋_GB2312" w:eastAsia="仿宋_GB2312" w:cs="仿宋_GB2312"/>
                <w:sz w:val="19"/>
              </w:rPr>
              <w:t>.供应商投标（响应）产品须符合国家有关质量技术标准及相关法律、法规规定的要求。</w:t>
            </w:r>
          </w:p>
          <w:p w14:paraId="1F77A6FB">
            <w:pPr>
              <w:pStyle w:val="6"/>
              <w:jc w:val="both"/>
              <w:rPr>
                <w:rFonts w:hint="eastAsia"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19"/>
                <w:lang w:val="en-US" w:eastAsia="zh-CN"/>
              </w:rPr>
              <w:t>5.</w:t>
            </w:r>
            <w:r>
              <w:rPr>
                <w:rFonts w:ascii="仿宋_GB2312" w:hAnsi="仿宋_GB2312" w:eastAsia="仿宋_GB2312" w:cs="仿宋_GB2312"/>
                <w:sz w:val="19"/>
              </w:rPr>
              <w:t>供应商在协议期内不能按期供货经查证属实的，须按涉单金额的1%向国库上缴违约金，拒不缴纳前述违约金或存在其他严重情节的，征集人将报送财政主管部门，由财政主管部门依据《深圳经济特区政府采购条例实施细则》第八十条的规定依法予以处理。</w:t>
            </w:r>
          </w:p>
        </w:tc>
        <w:tc>
          <w:tcPr>
            <w:tcW w:w="201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E6FC884">
            <w:pPr>
              <w:pStyle w:val="6"/>
              <w:jc w:val="both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</w:p>
        </w:tc>
        <w:tc>
          <w:tcPr>
            <w:tcW w:w="117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3155193">
            <w:pPr>
              <w:pStyle w:val="6"/>
              <w:jc w:val="both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</w:p>
        </w:tc>
      </w:tr>
    </w:tbl>
    <w:p w14:paraId="0590F8E0">
      <w:pPr>
        <w:pStyle w:val="6"/>
        <w:jc w:val="both"/>
        <w:rPr>
          <w:rFonts w:hint="eastAsia" w:ascii="宋体" w:hAnsi="宋体" w:eastAsia="宋体" w:cs="宋体"/>
          <w:b/>
          <w:bCs/>
          <w:color w:val="FF0000"/>
        </w:rPr>
      </w:pPr>
      <w:r>
        <w:rPr>
          <w:rFonts w:hint="eastAsia" w:ascii="宋体" w:hAnsi="宋体" w:eastAsia="宋体" w:cs="宋体"/>
          <w:b/>
          <w:bCs/>
          <w:color w:val="FF0000"/>
        </w:rPr>
        <w:t>《商务要求偏离表》编制指引：</w:t>
      </w:r>
    </w:p>
    <w:p w14:paraId="35649812">
      <w:pPr>
        <w:pStyle w:val="6"/>
        <w:jc w:val="both"/>
        <w:rPr>
          <w:rFonts w:hint="eastAsia" w:ascii="宋体" w:hAnsi="宋体" w:eastAsia="宋体" w:cs="宋体"/>
          <w:b/>
          <w:bCs/>
          <w:color w:val="FF0000"/>
        </w:rPr>
      </w:pPr>
      <w:r>
        <w:rPr>
          <w:rFonts w:hint="eastAsia" w:ascii="宋体" w:hAnsi="宋体" w:eastAsia="宋体" w:cs="宋体"/>
          <w:b/>
          <w:bCs/>
          <w:color w:val="FF0000"/>
        </w:rPr>
        <w:t>1</w:t>
      </w:r>
      <w:r>
        <w:rPr>
          <w:rFonts w:hint="eastAsia" w:ascii="宋体" w:hAnsi="宋体" w:eastAsia="宋体" w:cs="宋体"/>
          <w:b/>
          <w:bCs/>
          <w:color w:val="FF0000"/>
          <w:lang w:eastAsia="zh-CN"/>
        </w:rPr>
        <w:t>.</w:t>
      </w:r>
      <w:r>
        <w:rPr>
          <w:rFonts w:hint="eastAsia" w:ascii="宋体" w:hAnsi="宋体" w:eastAsia="宋体" w:cs="宋体"/>
          <w:b/>
          <w:bCs/>
          <w:color w:val="FF0000"/>
        </w:rPr>
        <w:t>商务要求偏离表的序号、</w:t>
      </w:r>
      <w:r>
        <w:rPr>
          <w:rFonts w:hint="eastAsia" w:ascii="宋体" w:hAnsi="宋体" w:eastAsia="宋体" w:cs="宋体"/>
          <w:b/>
          <w:bCs/>
          <w:color w:val="FF0000"/>
          <w:lang w:val="en-US" w:eastAsia="zh-CN"/>
        </w:rPr>
        <w:t>类型、</w:t>
      </w:r>
      <w:r>
        <w:rPr>
          <w:rFonts w:hint="eastAsia" w:ascii="宋体" w:hAnsi="宋体" w:eastAsia="宋体" w:cs="宋体"/>
          <w:b/>
          <w:bCs/>
          <w:color w:val="FF0000"/>
        </w:rPr>
        <w:t>要求等栏目对应“</w:t>
      </w:r>
      <w:r>
        <w:rPr>
          <w:rFonts w:hint="eastAsia" w:ascii="宋体" w:hAnsi="宋体" w:eastAsia="宋体" w:cs="宋体"/>
          <w:b/>
          <w:bCs/>
          <w:color w:val="FF0000"/>
          <w:lang w:val="en-US" w:eastAsia="zh-CN"/>
        </w:rPr>
        <w:t>采购需求</w:t>
      </w:r>
      <w:r>
        <w:rPr>
          <w:rFonts w:hint="eastAsia" w:ascii="宋体" w:hAnsi="宋体" w:eastAsia="宋体" w:cs="宋体"/>
          <w:b/>
          <w:bCs/>
          <w:color w:val="FF0000"/>
        </w:rPr>
        <w:t>”中的“商务要求”章节相关内容。</w:t>
      </w:r>
    </w:p>
    <w:p w14:paraId="661CB855">
      <w:pPr>
        <w:pStyle w:val="6"/>
        <w:jc w:val="both"/>
        <w:rPr>
          <w:rFonts w:hint="eastAsia" w:ascii="宋体" w:hAnsi="宋体" w:eastAsia="宋体" w:cs="宋体"/>
          <w:b/>
          <w:bCs/>
          <w:color w:val="FF0000"/>
        </w:rPr>
      </w:pPr>
      <w:r>
        <w:rPr>
          <w:rFonts w:hint="eastAsia" w:ascii="宋体" w:hAnsi="宋体" w:eastAsia="宋体" w:cs="宋体"/>
          <w:b/>
          <w:bCs/>
          <w:color w:val="FF0000"/>
          <w:lang w:val="en-US" w:eastAsia="zh-CN"/>
        </w:rPr>
        <w:t>2.</w:t>
      </w:r>
      <w:r>
        <w:rPr>
          <w:rFonts w:hint="eastAsia" w:ascii="宋体" w:hAnsi="宋体" w:eastAsia="宋体" w:cs="宋体"/>
          <w:b/>
          <w:bCs/>
          <w:color w:val="FF0000"/>
        </w:rPr>
        <w:t>“偏离情况”一栏如实填写“正偏离”、“负偏离”或“无偏离”，其中：“正偏离”表示“投标</w:t>
      </w:r>
      <w:r>
        <w:rPr>
          <w:rFonts w:hint="eastAsia" w:ascii="宋体" w:hAnsi="宋体" w:eastAsia="宋体" w:cs="宋体"/>
          <w:b/>
          <w:bCs/>
          <w:color w:val="FF0000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FF0000"/>
        </w:rPr>
        <w:t>响应</w:t>
      </w:r>
      <w:r>
        <w:rPr>
          <w:rFonts w:hint="eastAsia" w:ascii="宋体" w:hAnsi="宋体" w:eastAsia="宋体" w:cs="宋体"/>
          <w:b/>
          <w:bCs/>
          <w:color w:val="FF0000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color w:val="FF0000"/>
        </w:rPr>
        <w:t>优于</w:t>
      </w:r>
      <w:r>
        <w:rPr>
          <w:rFonts w:hint="eastAsia" w:ascii="宋体" w:hAnsi="宋体" w:eastAsia="宋体" w:cs="宋体"/>
          <w:b/>
          <w:bCs/>
          <w:color w:val="FF0000"/>
          <w:lang w:val="en-US" w:eastAsia="zh-CN"/>
        </w:rPr>
        <w:t>征集文件</w:t>
      </w:r>
      <w:r>
        <w:rPr>
          <w:rFonts w:hint="eastAsia" w:ascii="宋体" w:hAnsi="宋体" w:eastAsia="宋体" w:cs="宋体"/>
          <w:b/>
          <w:bCs/>
          <w:color w:val="FF0000"/>
        </w:rPr>
        <w:t>商务要求”，“负偏离”表示“投标</w:t>
      </w:r>
      <w:r>
        <w:rPr>
          <w:rFonts w:hint="eastAsia" w:ascii="宋体" w:hAnsi="宋体" w:eastAsia="宋体" w:cs="宋体"/>
          <w:b/>
          <w:bCs/>
          <w:color w:val="FF0000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FF0000"/>
        </w:rPr>
        <w:t>响应</w:t>
      </w:r>
      <w:r>
        <w:rPr>
          <w:rFonts w:hint="eastAsia" w:ascii="宋体" w:hAnsi="宋体" w:eastAsia="宋体" w:cs="宋体"/>
          <w:b/>
          <w:bCs/>
          <w:color w:val="FF0000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color w:val="FF0000"/>
        </w:rPr>
        <w:t>不满足</w:t>
      </w:r>
      <w:r>
        <w:rPr>
          <w:rFonts w:hint="eastAsia" w:ascii="宋体" w:hAnsi="宋体" w:eastAsia="宋体" w:cs="宋体"/>
          <w:b/>
          <w:bCs/>
          <w:color w:val="FF0000"/>
          <w:lang w:val="en-US" w:eastAsia="zh-CN"/>
        </w:rPr>
        <w:t>征集文件</w:t>
      </w:r>
      <w:r>
        <w:rPr>
          <w:rFonts w:hint="eastAsia" w:ascii="宋体" w:hAnsi="宋体" w:eastAsia="宋体" w:cs="宋体"/>
          <w:b/>
          <w:bCs/>
          <w:color w:val="FF0000"/>
        </w:rPr>
        <w:t>商务要求”，“无偏离”表示“投标</w:t>
      </w:r>
      <w:r>
        <w:rPr>
          <w:rFonts w:hint="eastAsia" w:ascii="宋体" w:hAnsi="宋体" w:eastAsia="宋体" w:cs="宋体"/>
          <w:b/>
          <w:bCs/>
          <w:color w:val="FF0000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FF0000"/>
        </w:rPr>
        <w:t>响应</w:t>
      </w:r>
      <w:r>
        <w:rPr>
          <w:rFonts w:hint="eastAsia" w:ascii="宋体" w:hAnsi="宋体" w:eastAsia="宋体" w:cs="宋体"/>
          <w:b/>
          <w:bCs/>
          <w:color w:val="FF0000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color w:val="FF0000"/>
        </w:rPr>
        <w:t>与</w:t>
      </w:r>
      <w:r>
        <w:rPr>
          <w:rFonts w:hint="eastAsia" w:ascii="宋体" w:hAnsi="宋体" w:eastAsia="宋体" w:cs="宋体"/>
          <w:b/>
          <w:bCs/>
          <w:color w:val="FF0000"/>
          <w:lang w:val="en-US" w:eastAsia="zh-CN"/>
        </w:rPr>
        <w:t>征集文件</w:t>
      </w:r>
      <w:r>
        <w:rPr>
          <w:rFonts w:hint="eastAsia" w:ascii="宋体" w:hAnsi="宋体" w:eastAsia="宋体" w:cs="宋体"/>
          <w:b/>
          <w:bCs/>
          <w:color w:val="FF0000"/>
        </w:rPr>
        <w:t>商务要求一致”。</w:t>
      </w:r>
    </w:p>
    <w:p w14:paraId="60C3DFC6">
      <w:pPr>
        <w:pStyle w:val="6"/>
        <w:jc w:val="both"/>
        <w:rPr>
          <w:rFonts w:ascii="仿宋_GB2312" w:hAnsi="仿宋_GB2312" w:eastAsia="仿宋_GB2312" w:cs="仿宋_GB2312"/>
          <w:b/>
          <w:bCs/>
        </w:rPr>
      </w:pPr>
      <w:r>
        <w:rPr>
          <w:rFonts w:hint="eastAsia" w:ascii="宋体" w:hAnsi="宋体" w:eastAsia="宋体" w:cs="宋体"/>
          <w:b/>
          <w:bCs/>
          <w:color w:val="FF0000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color w:val="FF0000"/>
          <w:lang w:eastAsia="zh-CN"/>
        </w:rPr>
        <w:t>.</w:t>
      </w:r>
      <w:r>
        <w:rPr>
          <w:rFonts w:hint="eastAsia" w:ascii="宋体" w:hAnsi="宋体" w:eastAsia="宋体" w:cs="宋体"/>
          <w:b/>
          <w:bCs/>
          <w:color w:val="FF0000"/>
          <w:lang w:val="en-US" w:eastAsia="zh-CN"/>
        </w:rPr>
        <w:t>商务要求均</w:t>
      </w:r>
      <w:r>
        <w:rPr>
          <w:rFonts w:hint="eastAsia" w:ascii="宋体" w:hAnsi="宋体" w:eastAsia="宋体" w:cs="宋体"/>
          <w:b/>
          <w:bCs/>
          <w:color w:val="FF0000"/>
        </w:rPr>
        <w:t>为不可偏离条款，如未响应或出现负偏离的，将作无效投标</w:t>
      </w:r>
      <w:r>
        <w:rPr>
          <w:rFonts w:hint="eastAsia" w:ascii="宋体" w:hAnsi="宋体" w:eastAsia="宋体" w:cs="宋体"/>
          <w:b/>
          <w:bCs/>
          <w:color w:val="FF0000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FF0000"/>
        </w:rPr>
        <w:t>响应</w:t>
      </w:r>
      <w:r>
        <w:rPr>
          <w:rFonts w:hint="eastAsia" w:ascii="宋体" w:hAnsi="宋体" w:eastAsia="宋体" w:cs="宋体"/>
          <w:b/>
          <w:bCs/>
          <w:color w:val="FF0000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color w:val="FF0000"/>
        </w:rPr>
        <w:t>处理。</w:t>
      </w:r>
    </w:p>
    <w:p w14:paraId="2B9AF1E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3661F7"/>
    <w:rsid w:val="156D10F1"/>
    <w:rsid w:val="1B03027A"/>
    <w:rsid w:val="1BCC7695"/>
    <w:rsid w:val="1F4F6738"/>
    <w:rsid w:val="1F7653F7"/>
    <w:rsid w:val="21B52DE5"/>
    <w:rsid w:val="283F3B40"/>
    <w:rsid w:val="2F8628E4"/>
    <w:rsid w:val="312C69F2"/>
    <w:rsid w:val="4A5A03A2"/>
    <w:rsid w:val="4C757895"/>
    <w:rsid w:val="52004B2C"/>
    <w:rsid w:val="556E48E9"/>
    <w:rsid w:val="5B4A2634"/>
    <w:rsid w:val="5DFB1281"/>
    <w:rsid w:val="76287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 Spacing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annotation text"/>
    <w:basedOn w:val="1"/>
    <w:qFormat/>
    <w:uiPriority w:val="0"/>
    <w:pPr>
      <w:jc w:val="left"/>
    </w:p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1276</Words>
  <Characters>1331</Characters>
  <Lines>0</Lines>
  <Paragraphs>0</Paragraphs>
  <TotalTime>0</TotalTime>
  <ScaleCrop>false</ScaleCrop>
  <LinksUpToDate>false</LinksUpToDate>
  <CharactersWithSpaces>1338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2026-06-01T09:54:00Z</dcterms:created>
  <dc:creator>刘朝ran</dc:creator>
  <cp:lastModifiedBy>刘朝然</cp:lastModifiedBy>
  <dcterms:modified xsi:type="dcterms:W3CDTF">2026-07-09T06:14:32Z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KSOTemplateDocerSaveRecord">
    <vt:lpwstr>eyJoZGlkIjoiYWJhZTA5NTBhM2JlYTAyM2RkNjBjZWNkZmNhMzEzN2IiLCJ1c2VySWQiOiIxNDc4MjUzNDUyIn0=</vt:lpwstr>
  </property>
  <property fmtid="{D5CDD505-2E9C-101B-9397-08002B2CF9AE}" pid="4" name="ICV">
    <vt:lpwstr>9E0C1D312A154E86B8AA80E57DD46F85_12</vt:lpwstr>
  </property>
</Properties>
</file>