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0CADB">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十</w:t>
      </w:r>
      <w:bookmarkStart w:id="0" w:name="_GoBack"/>
      <w:bookmarkEnd w:id="0"/>
      <w:r>
        <w:rPr>
          <w:rFonts w:hint="eastAsia" w:ascii="方正小标宋简体" w:hAnsi="方正小标宋简体" w:eastAsia="方正小标宋简体" w:cs="方正小标宋简体"/>
          <w:sz w:val="36"/>
          <w:szCs w:val="36"/>
          <w:lang w:val="en-US" w:eastAsia="zh-CN"/>
        </w:rPr>
        <w:t>、供应商认为需要加以说明的其他内容</w:t>
      </w:r>
    </w:p>
    <w:p w14:paraId="36EDC38B">
      <w:pPr>
        <w:widowControl/>
        <w:jc w:val="center"/>
        <w:rPr>
          <w:rFonts w:ascii="黑体" w:hAnsi="宋体" w:eastAsia="黑体"/>
          <w:kern w:val="0"/>
          <w:sz w:val="24"/>
          <w:szCs w:val="20"/>
        </w:rPr>
      </w:pPr>
      <w:r>
        <w:rPr>
          <w:rFonts w:hint="eastAsia" w:ascii="黑体" w:hAnsi="宋体" w:eastAsia="黑体"/>
          <w:kern w:val="0"/>
          <w:sz w:val="24"/>
          <w:szCs w:val="20"/>
        </w:rPr>
        <w:t>（一）</w:t>
      </w:r>
      <w:r>
        <w:rPr>
          <w:rFonts w:hint="eastAsia" w:ascii="黑体" w:hAnsi="宋体" w:eastAsia="黑体"/>
          <w:kern w:val="0"/>
          <w:sz w:val="24"/>
          <w:szCs w:val="20"/>
          <w:highlight w:val="none"/>
        </w:rPr>
        <w:t>政府采购违法行为风险知悉确认书</w:t>
      </w:r>
    </w:p>
    <w:p w14:paraId="73F2B3A6">
      <w:pPr>
        <w:spacing w:before="0" w:beforeLines="0" w:after="157" w:afterLines="50" w:line="360" w:lineRule="exact"/>
        <w:ind w:firstLine="422" w:firstLineChars="200"/>
        <w:rPr>
          <w:rFonts w:hint="eastAsia" w:ascii="仿宋_GB2312" w:hAnsi="仿宋_GB2312" w:eastAsia="仿宋_GB2312" w:cs="仿宋_GB2312"/>
          <w:b/>
          <w:bCs/>
          <w:color w:val="auto"/>
          <w:sz w:val="21"/>
          <w:szCs w:val="21"/>
          <w:lang w:val="en-US" w:eastAsia="zh-CN"/>
        </w:rPr>
      </w:pP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在投标前已充分知悉以下情形为参与政府采购活动时的重大风险事项，并承诺已对下述风险提示事项重点排查，</w:t>
      </w:r>
      <w:r>
        <w:rPr>
          <w:rFonts w:hint="eastAsia" w:ascii="仿宋_GB2312" w:hAnsi="仿宋_GB2312" w:eastAsia="仿宋_GB2312" w:cs="仿宋_GB2312"/>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496CC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noWrap w:val="0"/>
            <w:vAlign w:val="top"/>
          </w:tcPr>
          <w:p w14:paraId="0BE880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序号</w:t>
            </w:r>
          </w:p>
        </w:tc>
        <w:tc>
          <w:tcPr>
            <w:tcW w:w="7811" w:type="dxa"/>
            <w:noWrap w:val="0"/>
            <w:vAlign w:val="top"/>
          </w:tcPr>
          <w:p w14:paraId="579B668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b/>
                <w:bCs/>
                <w:color w:val="auto"/>
                <w:sz w:val="21"/>
                <w:szCs w:val="21"/>
                <w:highlight w:val="none"/>
                <w:lang w:val="en-US" w:eastAsia="zh-CN"/>
              </w:rPr>
              <w:t>供应商参与投标禁止情形</w:t>
            </w:r>
          </w:p>
        </w:tc>
      </w:tr>
      <w:tr w14:paraId="504C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9F6F7E0">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1</w:t>
            </w:r>
          </w:p>
        </w:tc>
        <w:tc>
          <w:tcPr>
            <w:tcW w:w="7811" w:type="dxa"/>
            <w:noWrap w:val="0"/>
            <w:vAlign w:val="center"/>
          </w:tcPr>
          <w:p w14:paraId="55EC294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与其他投标供应商的法定代表人、主要经营负责人、投标授权代表人、项目负责人、主要技术人员为</w:t>
            </w:r>
            <w:r>
              <w:rPr>
                <w:rFonts w:hint="eastAsia" w:ascii="仿宋_GB2312" w:hAnsi="仿宋_GB2312" w:eastAsia="仿宋_GB2312" w:cs="仿宋_GB2312"/>
                <w:b/>
                <w:bCs/>
                <w:color w:val="auto"/>
                <w:sz w:val="21"/>
                <w:szCs w:val="21"/>
                <w:highlight w:val="none"/>
                <w:lang w:val="en-US" w:eastAsia="zh-CN"/>
              </w:rPr>
              <w:t>同一人、属同一单位或者在同一单位缴纳社会保险</w:t>
            </w:r>
            <w:r>
              <w:rPr>
                <w:rFonts w:hint="eastAsia" w:ascii="仿宋_GB2312" w:hAnsi="仿宋_GB2312" w:eastAsia="仿宋_GB2312" w:cs="仿宋_GB2312"/>
                <w:color w:val="auto"/>
                <w:sz w:val="21"/>
                <w:szCs w:val="21"/>
                <w:highlight w:val="none"/>
                <w:lang w:val="en-US" w:eastAsia="zh-CN"/>
              </w:rPr>
              <w:t>。</w:t>
            </w:r>
          </w:p>
        </w:tc>
      </w:tr>
      <w:tr w14:paraId="6EE5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116AA63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w:t>
            </w:r>
          </w:p>
        </w:tc>
        <w:tc>
          <w:tcPr>
            <w:tcW w:w="7811" w:type="dxa"/>
            <w:noWrap w:val="0"/>
            <w:vAlign w:val="center"/>
          </w:tcPr>
          <w:p w14:paraId="58061D4E">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参与本项目政府采购活动时，与其他投标供应商存在单位负责人为</w:t>
            </w:r>
            <w:r>
              <w:rPr>
                <w:rFonts w:hint="eastAsia" w:ascii="仿宋_GB2312" w:hAnsi="仿宋_GB2312" w:eastAsia="仿宋_GB2312" w:cs="仿宋_GB2312"/>
                <w:b/>
                <w:bCs/>
                <w:color w:val="auto"/>
                <w:sz w:val="21"/>
                <w:szCs w:val="21"/>
                <w:highlight w:val="none"/>
                <w:lang w:val="en-US" w:eastAsia="zh-CN"/>
              </w:rPr>
              <w:t>同一人或直接控股、管理关系</w:t>
            </w:r>
            <w:r>
              <w:rPr>
                <w:rFonts w:hint="eastAsia" w:ascii="仿宋_GB2312" w:hAnsi="仿宋_GB2312" w:eastAsia="仿宋_GB2312" w:cs="仿宋_GB2312"/>
                <w:color w:val="auto"/>
                <w:sz w:val="21"/>
                <w:szCs w:val="21"/>
                <w:highlight w:val="none"/>
                <w:lang w:val="en-US" w:eastAsia="zh-CN"/>
              </w:rPr>
              <w:t>。</w:t>
            </w:r>
          </w:p>
        </w:tc>
      </w:tr>
      <w:tr w14:paraId="1ECE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4B6997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w:t>
            </w:r>
          </w:p>
        </w:tc>
        <w:tc>
          <w:tcPr>
            <w:tcW w:w="7811" w:type="dxa"/>
            <w:noWrap w:val="0"/>
            <w:vAlign w:val="center"/>
          </w:tcPr>
          <w:p w14:paraId="6FDFDD2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与其他投标供应商的投标文件或部分投标文件</w:t>
            </w:r>
            <w:r>
              <w:rPr>
                <w:rFonts w:hint="eastAsia" w:ascii="仿宋_GB2312" w:hAnsi="仿宋_GB2312" w:eastAsia="仿宋_GB2312" w:cs="仿宋_GB2312"/>
                <w:b/>
                <w:bCs/>
                <w:color w:val="auto"/>
                <w:sz w:val="21"/>
                <w:szCs w:val="21"/>
                <w:highlight w:val="none"/>
                <w:lang w:val="en-US" w:eastAsia="zh-CN"/>
              </w:rPr>
              <w:t>相互混装或存在非正常一致</w:t>
            </w:r>
            <w:r>
              <w:rPr>
                <w:rFonts w:hint="eastAsia" w:ascii="仿宋_GB2312" w:hAnsi="仿宋_GB2312" w:eastAsia="仿宋_GB2312" w:cs="仿宋_GB2312"/>
                <w:color w:val="auto"/>
                <w:sz w:val="21"/>
                <w:szCs w:val="21"/>
                <w:highlight w:val="none"/>
                <w:lang w:val="en-US" w:eastAsia="zh-CN"/>
              </w:rPr>
              <w:t>。</w:t>
            </w:r>
          </w:p>
        </w:tc>
      </w:tr>
      <w:tr w14:paraId="013F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703CA81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4</w:t>
            </w:r>
          </w:p>
        </w:tc>
        <w:tc>
          <w:tcPr>
            <w:tcW w:w="7811" w:type="dxa"/>
            <w:noWrap w:val="0"/>
            <w:vAlign w:val="center"/>
          </w:tcPr>
          <w:p w14:paraId="33C4CB55">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与其他投标供应商的投标文件由</w:t>
            </w:r>
            <w:r>
              <w:rPr>
                <w:rFonts w:hint="eastAsia" w:ascii="仿宋_GB2312" w:hAnsi="仿宋_GB2312" w:eastAsia="仿宋_GB2312" w:cs="仿宋_GB2312"/>
                <w:b/>
                <w:bCs/>
                <w:color w:val="auto"/>
                <w:sz w:val="21"/>
                <w:szCs w:val="21"/>
                <w:highlight w:val="none"/>
                <w:lang w:val="en-US" w:eastAsia="zh-CN"/>
              </w:rPr>
              <w:t>同一单位或者同一人编制</w:t>
            </w:r>
            <w:r>
              <w:rPr>
                <w:rFonts w:hint="eastAsia" w:ascii="仿宋_GB2312" w:hAnsi="仿宋_GB2312" w:eastAsia="仿宋_GB2312" w:cs="仿宋_GB2312"/>
                <w:color w:val="auto"/>
                <w:sz w:val="21"/>
                <w:szCs w:val="21"/>
                <w:highlight w:val="none"/>
                <w:lang w:val="en-US" w:eastAsia="zh-CN"/>
              </w:rPr>
              <w:t>，或者使用</w:t>
            </w:r>
            <w:r>
              <w:rPr>
                <w:rFonts w:hint="eastAsia" w:ascii="仿宋_GB2312" w:hAnsi="仿宋_GB2312" w:eastAsia="仿宋_GB2312" w:cs="仿宋_GB2312"/>
                <w:b/>
                <w:bCs/>
                <w:color w:val="auto"/>
                <w:sz w:val="21"/>
                <w:szCs w:val="21"/>
                <w:highlight w:val="none"/>
                <w:lang w:val="en-US" w:eastAsia="zh-CN"/>
              </w:rPr>
              <w:t>同一设备编制</w:t>
            </w:r>
            <w:r>
              <w:rPr>
                <w:rFonts w:hint="eastAsia" w:ascii="仿宋_GB2312" w:hAnsi="仿宋_GB2312" w:eastAsia="仿宋_GB2312" w:cs="仿宋_GB2312"/>
                <w:color w:val="auto"/>
                <w:sz w:val="21"/>
                <w:szCs w:val="21"/>
                <w:highlight w:val="none"/>
                <w:lang w:val="en-US" w:eastAsia="zh-CN"/>
              </w:rPr>
              <w:t>（“文件制作机器码”“文件创建标识码”一致）。</w:t>
            </w:r>
          </w:p>
        </w:tc>
      </w:tr>
      <w:tr w14:paraId="5DE0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7A7EF10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5</w:t>
            </w:r>
          </w:p>
        </w:tc>
        <w:tc>
          <w:tcPr>
            <w:tcW w:w="7811" w:type="dxa"/>
            <w:noWrap w:val="0"/>
            <w:vAlign w:val="center"/>
          </w:tcPr>
          <w:p w14:paraId="6D6C4C0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提供</w:t>
            </w:r>
            <w:r>
              <w:rPr>
                <w:rFonts w:hint="eastAsia" w:ascii="仿宋_GB2312" w:hAnsi="仿宋_GB2312" w:eastAsia="仿宋_GB2312" w:cs="仿宋_GB2312"/>
                <w:b/>
                <w:bCs/>
                <w:color w:val="auto"/>
                <w:sz w:val="21"/>
                <w:szCs w:val="21"/>
                <w:highlight w:val="none"/>
                <w:lang w:val="en-US" w:eastAsia="zh-CN"/>
              </w:rPr>
              <w:t>未经出具机构核实</w:t>
            </w:r>
            <w:r>
              <w:rPr>
                <w:rFonts w:hint="eastAsia" w:ascii="仿宋_GB2312" w:hAnsi="仿宋_GB2312" w:eastAsia="仿宋_GB2312" w:cs="仿宋_GB2312"/>
                <w:color w:val="auto"/>
                <w:sz w:val="21"/>
                <w:szCs w:val="21"/>
                <w:highlight w:val="none"/>
                <w:lang w:val="en-US" w:eastAsia="zh-CN"/>
              </w:rPr>
              <w:t>的虚假的检验检测报告、业绩材料、社保缴纳证明、学历学位证书、职称认证证书等材料。</w:t>
            </w:r>
          </w:p>
        </w:tc>
      </w:tr>
      <w:tr w14:paraId="4E65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60133C71">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6</w:t>
            </w:r>
          </w:p>
        </w:tc>
        <w:tc>
          <w:tcPr>
            <w:tcW w:w="7811" w:type="dxa"/>
            <w:noWrap w:val="0"/>
            <w:vAlign w:val="center"/>
          </w:tcPr>
          <w:p w14:paraId="3C3D7F3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lang w:val="en-US" w:eastAsia="zh-CN"/>
              </w:rPr>
              <w:t>擅自将投标密钥或电子营业执照出借他人使用或未妥善保管。</w:t>
            </w:r>
          </w:p>
        </w:tc>
      </w:tr>
    </w:tbl>
    <w:p w14:paraId="465BBBDB">
      <w:pPr>
        <w:spacing w:before="157" w:beforeLines="5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一、</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已充分知悉“隐瞒真实情况，提供虚假资料”的法定情形，包括但不限于：</w:t>
      </w:r>
    </w:p>
    <w:p w14:paraId="2466942B">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（一）通过转让或者租借等方式从其他单位获取资格或者资质证书投标的</w:t>
      </w:r>
      <w:r>
        <w:rPr>
          <w:rFonts w:hint="eastAsia" w:ascii="仿宋_GB2312" w:hAnsi="仿宋_GB2312" w:eastAsia="仿宋_GB2312" w:cs="仿宋_GB2312"/>
          <w:color w:val="auto"/>
          <w:sz w:val="21"/>
          <w:szCs w:val="21"/>
          <w:highlight w:val="none"/>
        </w:rPr>
        <w:t>。</w:t>
      </w:r>
    </w:p>
    <w:p w14:paraId="2C4E065D">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（二）由其他单位或者其他单位负责人在投标供应商编制的投标文件上加盖印章或者签字的。</w:t>
      </w:r>
    </w:p>
    <w:p w14:paraId="5354AE92">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（三）项目负责人或者主要技术人员不是本单位人员的。</w:t>
      </w:r>
    </w:p>
    <w:p w14:paraId="0210E5B2">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（四）投标保证金不是从投标供应商基本账户转出的。</w:t>
      </w:r>
    </w:p>
    <w:p w14:paraId="29ECE52D">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（五）其他隐瞒真实情况、提供虚假资料的行为。</w:t>
      </w:r>
    </w:p>
    <w:p w14:paraId="63992DC9">
      <w:pPr>
        <w:spacing w:beforeLines="0" w:line="38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二、</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已充分知悉“与其他采购参加人串通投标”的法定情形，包括但不限于：</w:t>
      </w:r>
    </w:p>
    <w:p w14:paraId="43CA97B3">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（一）投标供应商之间相互约定给予未中标的供应商利益补偿。</w:t>
      </w:r>
    </w:p>
    <w:p w14:paraId="44260BE0">
      <w:pPr>
        <w:spacing w:beforeLines="0" w:line="38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（二）不同投标供应商的法定代表人、主要经营负责人、项目投标授权代表人、项目负责人、主要技术人员为同一人、属同一单位或者在同一单位缴纳社会保险。</w:t>
      </w:r>
    </w:p>
    <w:p w14:paraId="0BE2D4F1">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（三）不同投标供应商的投标文件由同一单位或者同一人编制，或者由同一人分阶段参与编制的。</w:t>
      </w:r>
    </w:p>
    <w:p w14:paraId="735D3E7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（四）不同投标供应商的投标文件或部分投标文件相互混装。</w:t>
      </w:r>
    </w:p>
    <w:p w14:paraId="2ED96532">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（五）不同投标供应商的投标文件内容存在非正常一致。</w:t>
      </w:r>
    </w:p>
    <w:p w14:paraId="2E639F8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（六）由同一单位工作人员为两家以上（含两家）供应商进行同一项投标活动的。</w:t>
      </w:r>
    </w:p>
    <w:p w14:paraId="7ABC00EA">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（七）不同投标人的投标报价呈规律性差异。</w:t>
      </w:r>
    </w:p>
    <w:p w14:paraId="20F0359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（八）不同投标人的投标保证金从同一单位或者个人的账户转出。</w:t>
      </w:r>
    </w:p>
    <w:p w14:paraId="3B92CB57">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（九）主管部门依照法律、法规认定的其他情形。</w:t>
      </w:r>
    </w:p>
    <w:p w14:paraId="4A2B4267">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三、</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已充分知悉下列情形</w:t>
      </w:r>
      <w:r>
        <w:rPr>
          <w:rFonts w:hint="eastAsia" w:ascii="仿宋_GB2312" w:hAnsi="仿宋_GB2312" w:eastAsia="仿宋_GB2312" w:cs="仿宋_GB2312"/>
          <w:b/>
          <w:color w:val="auto"/>
          <w:sz w:val="21"/>
          <w:szCs w:val="21"/>
          <w:lang w:eastAsia="zh-CN"/>
        </w:rPr>
        <w:t>存在</w:t>
      </w:r>
      <w:r>
        <w:rPr>
          <w:rFonts w:hint="eastAsia" w:ascii="仿宋_GB2312" w:hAnsi="仿宋_GB2312" w:eastAsia="仿宋_GB2312" w:cs="仿宋_GB2312"/>
          <w:b/>
          <w:color w:val="auto"/>
          <w:sz w:val="21"/>
          <w:szCs w:val="21"/>
        </w:rPr>
        <w:t>法律风险，在投标前已对相关风险事项进行排</w:t>
      </w:r>
      <w:r>
        <w:rPr>
          <w:rFonts w:hint="eastAsia" w:ascii="仿宋_GB2312" w:hAnsi="仿宋_GB2312" w:eastAsia="仿宋_GB2312" w:cs="仿宋_GB2312"/>
          <w:b/>
          <w:color w:val="auto"/>
          <w:sz w:val="21"/>
          <w:szCs w:val="21"/>
          <w:highlight w:val="none"/>
        </w:rPr>
        <w:t>查。</w:t>
      </w:r>
    </w:p>
    <w:p w14:paraId="1E26F461">
      <w:pPr>
        <w:spacing w:beforeLines="0" w:line="340" w:lineRule="exact"/>
        <w:ind w:firstLine="420"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color w:val="auto"/>
          <w:sz w:val="21"/>
          <w:szCs w:val="21"/>
        </w:rPr>
        <w:t>（一）对于从其他主体获取的投标资料，</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应审慎核查，确保</w:t>
      </w:r>
      <w:r>
        <w:rPr>
          <w:rFonts w:hint="eastAsia" w:ascii="仿宋_GB2312" w:hAnsi="仿宋_GB2312" w:eastAsia="仿宋_GB2312" w:cs="仿宋_GB2312"/>
          <w:color w:val="auto"/>
          <w:sz w:val="21"/>
          <w:szCs w:val="21"/>
          <w:lang w:eastAsia="zh-CN"/>
        </w:rPr>
        <w:t>其</w:t>
      </w:r>
      <w:r>
        <w:rPr>
          <w:rFonts w:hint="eastAsia" w:ascii="仿宋_GB2312" w:hAnsi="仿宋_GB2312" w:eastAsia="仿宋_GB2312" w:cs="仿宋_GB2312"/>
          <w:color w:val="auto"/>
          <w:sz w:val="21"/>
          <w:szCs w:val="21"/>
        </w:rPr>
        <w:t>真实性。</w:t>
      </w:r>
      <w:r>
        <w:rPr>
          <w:rFonts w:hint="eastAsia" w:ascii="仿宋_GB2312" w:hAnsi="仿宋_GB2312" w:eastAsia="仿宋_GB2312" w:cs="仿宋_GB2312"/>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5DC78035">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仿宋_GB2312" w:hAnsi="仿宋_GB2312" w:eastAsia="仿宋_GB2312" w:cs="仿宋_GB2312"/>
          <w:color w:val="auto"/>
          <w:sz w:val="21"/>
          <w:szCs w:val="21"/>
          <w:lang w:eastAsia="zh-CN"/>
        </w:rPr>
        <w:t>处理</w:t>
      </w:r>
      <w:r>
        <w:rPr>
          <w:rFonts w:hint="eastAsia" w:ascii="仿宋_GB2312" w:hAnsi="仿宋_GB2312" w:eastAsia="仿宋_GB2312" w:cs="仿宋_GB2312"/>
          <w:color w:val="auto"/>
          <w:sz w:val="21"/>
          <w:szCs w:val="21"/>
        </w:rPr>
        <w:t>。</w:t>
      </w:r>
    </w:p>
    <w:p w14:paraId="140DFDEF">
      <w:pPr>
        <w:spacing w:beforeLines="0" w:line="340" w:lineRule="exact"/>
        <w:ind w:firstLine="420" w:firstLineChars="200"/>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三</w:t>
      </w:r>
      <w:r>
        <w:rPr>
          <w:rFonts w:hint="eastAsia" w:ascii="仿宋_GB2312" w:hAnsi="仿宋_GB2312" w:eastAsia="仿宋_GB2312" w:cs="仿宋_GB2312"/>
          <w:color w:val="auto"/>
          <w:sz w:val="21"/>
          <w:szCs w:val="21"/>
        </w:rPr>
        <w:t>）</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对投标电子密钥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负有妥善保管、及时变更和续期等主体责任</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使用电子密钥</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lang w:val="en-US" w:eastAsia="zh-CN"/>
        </w:rPr>
        <w:t>电子营业执照</w:t>
      </w:r>
      <w:r>
        <w:rPr>
          <w:rFonts w:hint="eastAsia" w:ascii="仿宋_GB2312" w:hAnsi="仿宋_GB2312" w:eastAsia="仿宋_GB2312" w:cs="仿宋_GB2312"/>
          <w:color w:val="auto"/>
          <w:sz w:val="21"/>
          <w:szCs w:val="21"/>
        </w:rPr>
        <w:t>在深圳政府采购网站进行的活动，均具有法律效力，须承担相应的法律后果。</w:t>
      </w:r>
      <w:r>
        <w:rPr>
          <w:rFonts w:hint="eastAsia" w:ascii="仿宋_GB2312" w:hAnsi="仿宋_GB2312" w:eastAsia="仿宋_GB2312" w:cs="仿宋_GB2312"/>
          <w:color w:val="auto"/>
          <w:sz w:val="21"/>
          <w:szCs w:val="21"/>
          <w:lang w:eastAsia="zh-CN"/>
        </w:rPr>
        <w:t>若</w:t>
      </w:r>
      <w:r>
        <w:rPr>
          <w:rFonts w:hint="eastAsia" w:ascii="仿宋_GB2312" w:hAnsi="仿宋_GB2312" w:eastAsia="仿宋_GB2312" w:cs="仿宋_GB2312"/>
          <w:b/>
          <w:bCs/>
          <w:color w:val="auto"/>
          <w:sz w:val="21"/>
          <w:szCs w:val="21"/>
        </w:rPr>
        <w:t>擅自将投标密钥</w:t>
      </w:r>
      <w:r>
        <w:rPr>
          <w:rFonts w:hint="eastAsia" w:ascii="仿宋_GB2312" w:hAnsi="仿宋_GB2312" w:eastAsia="仿宋_GB2312" w:cs="仿宋_GB2312"/>
          <w:b/>
          <w:bCs/>
          <w:color w:val="auto"/>
          <w:sz w:val="21"/>
          <w:szCs w:val="21"/>
          <w:lang w:eastAsia="zh-CN"/>
        </w:rPr>
        <w:t>或</w:t>
      </w:r>
      <w:r>
        <w:rPr>
          <w:rFonts w:hint="eastAsia" w:ascii="仿宋_GB2312" w:hAnsi="仿宋_GB2312" w:eastAsia="仿宋_GB2312" w:cs="仿宋_GB2312"/>
          <w:b/>
          <w:bCs/>
          <w:color w:val="auto"/>
          <w:sz w:val="21"/>
          <w:szCs w:val="21"/>
          <w:lang w:val="en-US" w:eastAsia="zh-CN"/>
        </w:rPr>
        <w:t>电子营业执照</w:t>
      </w:r>
      <w:r>
        <w:rPr>
          <w:rFonts w:hint="eastAsia" w:ascii="仿宋_GB2312" w:hAnsi="仿宋_GB2312" w:eastAsia="仿宋_GB2312" w:cs="仿宋_GB2312"/>
          <w:b/>
          <w:bCs/>
          <w:color w:val="auto"/>
          <w:sz w:val="21"/>
          <w:szCs w:val="21"/>
        </w:rPr>
        <w:t>出借他人使用所造成的法律后果，由</w:t>
      </w:r>
      <w:r>
        <w:rPr>
          <w:rFonts w:hint="eastAsia" w:ascii="仿宋_GB2312" w:hAnsi="仿宋_GB2312" w:eastAsia="仿宋_GB2312" w:cs="仿宋_GB2312"/>
          <w:b/>
          <w:bCs/>
          <w:color w:val="auto"/>
          <w:sz w:val="21"/>
          <w:szCs w:val="21"/>
          <w:lang w:eastAsia="zh-CN"/>
        </w:rPr>
        <w:t>我</w:t>
      </w:r>
      <w:r>
        <w:rPr>
          <w:rFonts w:hint="eastAsia" w:ascii="仿宋_GB2312" w:hAnsi="仿宋_GB2312" w:eastAsia="仿宋_GB2312" w:cs="仿宋_GB2312"/>
          <w:b/>
          <w:bCs/>
          <w:color w:val="auto"/>
          <w:sz w:val="21"/>
          <w:szCs w:val="21"/>
          <w:lang w:val="en-US" w:eastAsia="zh-CN"/>
        </w:rPr>
        <w:t>单位</w:t>
      </w:r>
      <w:r>
        <w:rPr>
          <w:rFonts w:hint="eastAsia" w:ascii="仿宋_GB2312" w:hAnsi="仿宋_GB2312" w:eastAsia="仿宋_GB2312" w:cs="仿宋_GB2312"/>
          <w:b/>
          <w:bCs/>
          <w:color w:val="auto"/>
          <w:sz w:val="21"/>
          <w:szCs w:val="21"/>
        </w:rPr>
        <w:t>自行承担</w:t>
      </w:r>
      <w:r>
        <w:rPr>
          <w:rFonts w:hint="eastAsia" w:ascii="仿宋_GB2312" w:hAnsi="仿宋_GB2312" w:eastAsia="仿宋_GB2312" w:cs="仿宋_GB2312"/>
          <w:color w:val="auto"/>
          <w:sz w:val="21"/>
          <w:szCs w:val="21"/>
        </w:rPr>
        <w:t>。</w:t>
      </w:r>
    </w:p>
    <w:p w14:paraId="1D1BACC9">
      <w:pPr>
        <w:spacing w:beforeLines="0" w:line="340" w:lineRule="exact"/>
        <w:ind w:firstLine="422" w:firstLineChars="200"/>
        <w:rPr>
          <w:rFonts w:hint="eastAsia"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四、</w:t>
      </w:r>
      <w:r>
        <w:rPr>
          <w:rFonts w:hint="eastAsia" w:ascii="仿宋_GB2312" w:hAnsi="仿宋_GB2312" w:eastAsia="仿宋_GB2312" w:cs="仿宋_GB2312"/>
          <w:b/>
          <w:color w:val="auto"/>
          <w:sz w:val="21"/>
          <w:szCs w:val="21"/>
          <w:lang w:eastAsia="zh-CN"/>
        </w:rPr>
        <w:t>我</w:t>
      </w:r>
      <w:r>
        <w:rPr>
          <w:rFonts w:hint="eastAsia" w:ascii="仿宋_GB2312" w:hAnsi="仿宋_GB2312" w:eastAsia="仿宋_GB2312" w:cs="仿宋_GB2312"/>
          <w:b/>
          <w:color w:val="auto"/>
          <w:sz w:val="21"/>
          <w:szCs w:val="21"/>
          <w:lang w:val="en-US" w:eastAsia="zh-CN"/>
        </w:rPr>
        <w:t>单位</w:t>
      </w:r>
      <w:r>
        <w:rPr>
          <w:rFonts w:hint="eastAsia" w:ascii="仿宋_GB2312" w:hAnsi="仿宋_GB2312" w:eastAsia="仿宋_GB2312" w:cs="仿宋_GB2312"/>
          <w:b/>
          <w:color w:val="auto"/>
          <w:sz w:val="21"/>
          <w:szCs w:val="21"/>
        </w:rPr>
        <w:t>已充分知悉政府采购违法、违规行为的法律</w:t>
      </w:r>
      <w:r>
        <w:rPr>
          <w:rFonts w:hint="eastAsia" w:ascii="仿宋_GB2312" w:hAnsi="仿宋_GB2312" w:eastAsia="仿宋_GB2312" w:cs="仿宋_GB2312"/>
          <w:b/>
          <w:color w:val="auto"/>
          <w:sz w:val="21"/>
          <w:szCs w:val="21"/>
          <w:highlight w:val="none"/>
        </w:rPr>
        <w:t>后果。</w:t>
      </w:r>
    </w:p>
    <w:p w14:paraId="171869FD">
      <w:pPr>
        <w:spacing w:beforeLines="0" w:line="34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rPr>
        <w:t>经查实，若</w:t>
      </w:r>
      <w:r>
        <w:rPr>
          <w:rFonts w:hint="eastAsia" w:ascii="仿宋_GB2312" w:hAnsi="仿宋_GB2312" w:eastAsia="仿宋_GB2312" w:cs="仿宋_GB2312"/>
          <w:color w:val="auto"/>
          <w:sz w:val="21"/>
          <w:szCs w:val="21"/>
          <w:lang w:eastAsia="zh-CN"/>
        </w:rPr>
        <w:t>我</w:t>
      </w:r>
      <w:r>
        <w:rPr>
          <w:rFonts w:hint="eastAsia" w:ascii="仿宋_GB2312" w:hAnsi="仿宋_GB2312" w:eastAsia="仿宋_GB2312" w:cs="仿宋_GB2312"/>
          <w:color w:val="auto"/>
          <w:sz w:val="21"/>
          <w:szCs w:val="21"/>
          <w:lang w:val="en-US" w:eastAsia="zh-CN"/>
        </w:rPr>
        <w:t>单位</w:t>
      </w:r>
      <w:r>
        <w:rPr>
          <w:rFonts w:hint="eastAsia" w:ascii="仿宋_GB2312" w:hAnsi="仿宋_GB2312" w:eastAsia="仿宋_GB2312" w:cs="仿宋_GB2312"/>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仿宋_GB2312" w:hAnsi="仿宋_GB2312" w:eastAsia="仿宋_GB2312" w:cs="仿宋_GB2312"/>
          <w:color w:val="auto"/>
          <w:sz w:val="21"/>
          <w:szCs w:val="21"/>
          <w:highlight w:val="none"/>
        </w:rPr>
        <w:t>分之二十以上千分之三十以下罚款，由市场监管部门依法吊销营业执照。</w:t>
      </w:r>
    </w:p>
    <w:p w14:paraId="1982FFB8">
      <w:pPr>
        <w:spacing w:beforeLines="0" w:line="340" w:lineRule="exact"/>
        <w:ind w:firstLine="420" w:firstLineChars="200"/>
        <w:rPr>
          <w:rFonts w:hint="eastAsia" w:ascii="仿宋_GB2312" w:hAnsi="仿宋_GB2312" w:eastAsia="仿宋_GB2312" w:cs="仿宋_GB2312"/>
          <w:color w:val="auto"/>
          <w:sz w:val="21"/>
          <w:szCs w:val="21"/>
          <w:highlight w:val="yellow"/>
        </w:rPr>
      </w:pPr>
      <w:r>
        <w:rPr>
          <w:rFonts w:hint="eastAsia" w:ascii="仿宋_GB2312" w:hAnsi="仿宋_GB2312" w:eastAsia="仿宋_GB2312" w:cs="仿宋_GB2312"/>
          <w:color w:val="auto"/>
          <w:sz w:val="21"/>
          <w:szCs w:val="21"/>
          <w:highlight w:val="yellow"/>
        </w:rPr>
        <w:t>以下文字请投标供应商抄写并确认：“</w:t>
      </w:r>
      <w:r>
        <w:rPr>
          <w:rFonts w:hint="eastAsia" w:ascii="仿宋_GB2312" w:hAnsi="仿宋_GB2312" w:eastAsia="仿宋_GB2312" w:cs="仿宋_GB2312"/>
          <w:color w:val="auto"/>
          <w:sz w:val="21"/>
          <w:szCs w:val="21"/>
          <w:highlight w:val="yellow"/>
          <w:lang w:eastAsia="zh-CN"/>
        </w:rPr>
        <w:t>我</w:t>
      </w:r>
      <w:r>
        <w:rPr>
          <w:rFonts w:hint="eastAsia" w:ascii="仿宋_GB2312" w:hAnsi="仿宋_GB2312" w:eastAsia="仿宋_GB2312" w:cs="仿宋_GB2312"/>
          <w:color w:val="auto"/>
          <w:sz w:val="21"/>
          <w:szCs w:val="21"/>
          <w:highlight w:val="yellow"/>
          <w:lang w:val="en-US" w:eastAsia="zh-CN"/>
        </w:rPr>
        <w:t>单位</w:t>
      </w:r>
      <w:r>
        <w:rPr>
          <w:rFonts w:hint="eastAsia" w:ascii="仿宋_GB2312" w:hAnsi="仿宋_GB2312" w:eastAsia="仿宋_GB2312" w:cs="仿宋_GB2312"/>
          <w:color w:val="auto"/>
          <w:sz w:val="21"/>
          <w:szCs w:val="21"/>
          <w:highlight w:val="yellow"/>
        </w:rPr>
        <w:t>已仔细阅读《政府采购违法行为风险知悉确认书》，充分知悉违法行为的法律后果，并承诺将严谨、诚信、依法依规参与政府采购活动”。</w:t>
      </w:r>
    </w:p>
    <w:tbl>
      <w:tblPr>
        <w:tblStyle w:val="13"/>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0CE6F92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14E5AA9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highlight w:val="none"/>
              </w:rPr>
            </w:pPr>
          </w:p>
        </w:tc>
      </w:tr>
      <w:tr w14:paraId="68AF012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209693AD">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C20A33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42D9442B">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r w14:paraId="725B96B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6EBD5653">
            <w:pPr>
              <w:autoSpaceDE w:val="0"/>
              <w:autoSpaceDN w:val="0"/>
              <w:spacing w:beforeLines="0" w:line="340" w:lineRule="exact"/>
              <w:ind w:firstLine="1866"/>
              <w:rPr>
                <w:rFonts w:hint="eastAsia" w:ascii="仿宋_GB2312" w:hAnsi="仿宋_GB2312" w:eastAsia="仿宋_GB2312" w:cs="仿宋_GB2312"/>
                <w:color w:val="auto"/>
                <w:spacing w:val="-4"/>
                <w:kern w:val="0"/>
                <w:sz w:val="21"/>
                <w:szCs w:val="21"/>
              </w:rPr>
            </w:pPr>
          </w:p>
        </w:tc>
      </w:tr>
    </w:tbl>
    <w:p w14:paraId="2C4ABC8B">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rPr>
      </w:pPr>
    </w:p>
    <w:p w14:paraId="2D39C5DC">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eastAsia="zh-CN"/>
        </w:rPr>
        <w:t>单位</w:t>
      </w:r>
      <w:r>
        <w:rPr>
          <w:rFonts w:hint="eastAsia" w:ascii="仿宋_GB2312" w:hAnsi="仿宋_GB2312" w:eastAsia="仿宋_GB2312" w:cs="仿宋_GB2312"/>
          <w:color w:val="auto"/>
          <w:spacing w:val="-4"/>
          <w:kern w:val="0"/>
          <w:sz w:val="21"/>
          <w:szCs w:val="21"/>
        </w:rPr>
        <w:t>负责人签名：</w:t>
      </w:r>
      <w:r>
        <w:rPr>
          <w:rFonts w:hint="eastAsia" w:ascii="仿宋_GB2312" w:hAnsi="仿宋_GB2312" w:eastAsia="仿宋_GB2312" w:cs="仿宋_GB2312"/>
          <w:color w:val="auto"/>
          <w:spacing w:val="-4"/>
          <w:kern w:val="0"/>
          <w:sz w:val="21"/>
          <w:szCs w:val="21"/>
          <w:u w:val="single"/>
        </w:rPr>
        <w:t xml:space="preserve">              </w:t>
      </w:r>
    </w:p>
    <w:p w14:paraId="1FC53430">
      <w:pPr>
        <w:widowControl/>
        <w:wordWrap w:val="0"/>
        <w:autoSpaceDE w:val="0"/>
        <w:autoSpaceDN w:val="0"/>
        <w:spacing w:beforeLines="0" w:line="340" w:lineRule="exact"/>
        <w:ind w:right="808" w:firstLine="404" w:firstLineChars="200"/>
        <w:jc w:val="center"/>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lang w:val="en-US" w:eastAsia="zh-CN"/>
        </w:rPr>
        <w:t xml:space="preserve">                                 </w:t>
      </w:r>
      <w:r>
        <w:rPr>
          <w:rFonts w:hint="eastAsia" w:ascii="仿宋_GB2312" w:hAnsi="仿宋_GB2312" w:eastAsia="仿宋_GB2312" w:cs="仿宋_GB2312"/>
          <w:color w:val="auto"/>
          <w:spacing w:val="-4"/>
          <w:kern w:val="0"/>
          <w:sz w:val="21"/>
          <w:szCs w:val="21"/>
          <w:lang w:eastAsia="zh-CN"/>
        </w:rPr>
        <w:t>（加盖</w:t>
      </w:r>
      <w:r>
        <w:rPr>
          <w:rFonts w:hint="eastAsia" w:ascii="仿宋_GB2312" w:hAnsi="仿宋_GB2312" w:eastAsia="仿宋_GB2312" w:cs="仿宋_GB2312"/>
          <w:color w:val="auto"/>
          <w:spacing w:val="-4"/>
          <w:kern w:val="0"/>
          <w:sz w:val="21"/>
          <w:szCs w:val="21"/>
        </w:rPr>
        <w:t>公章</w:t>
      </w:r>
      <w:r>
        <w:rPr>
          <w:rFonts w:hint="eastAsia" w:ascii="仿宋_GB2312" w:hAnsi="仿宋_GB2312" w:eastAsia="仿宋_GB2312" w:cs="仿宋_GB2312"/>
          <w:color w:val="auto"/>
          <w:spacing w:val="-4"/>
          <w:kern w:val="0"/>
          <w:sz w:val="21"/>
          <w:szCs w:val="21"/>
          <w:lang w:eastAsia="zh-CN"/>
        </w:rPr>
        <w:t>）</w:t>
      </w:r>
    </w:p>
    <w:p w14:paraId="03A51BAD">
      <w:pPr>
        <w:widowControl/>
        <w:wordWrap w:val="0"/>
        <w:autoSpaceDE w:val="0"/>
        <w:autoSpaceDN w:val="0"/>
        <w:spacing w:beforeLines="0" w:line="340" w:lineRule="exact"/>
        <w:ind w:right="808" w:firstLine="404" w:firstLineChars="200"/>
        <w:jc w:val="right"/>
        <w:rPr>
          <w:rFonts w:hint="eastAsia" w:ascii="仿宋_GB2312" w:hAnsi="仿宋_GB2312" w:eastAsia="仿宋_GB2312" w:cs="仿宋_GB2312"/>
          <w:color w:val="auto"/>
          <w:spacing w:val="-4"/>
          <w:kern w:val="0"/>
          <w:sz w:val="21"/>
          <w:szCs w:val="21"/>
          <w:u w:val="single"/>
        </w:rPr>
      </w:pPr>
      <w:r>
        <w:rPr>
          <w:rFonts w:hint="eastAsia" w:ascii="仿宋_GB2312" w:hAnsi="仿宋_GB2312" w:eastAsia="仿宋_GB2312" w:cs="仿宋_GB2312"/>
          <w:color w:val="auto"/>
          <w:spacing w:val="-4"/>
          <w:kern w:val="0"/>
          <w:sz w:val="21"/>
          <w:szCs w:val="21"/>
        </w:rPr>
        <w:t xml:space="preserve">     日期：</w:t>
      </w:r>
      <w:r>
        <w:rPr>
          <w:rFonts w:hint="eastAsia" w:ascii="仿宋_GB2312" w:hAnsi="仿宋_GB2312" w:eastAsia="仿宋_GB2312" w:cs="仿宋_GB2312"/>
          <w:color w:val="auto"/>
          <w:spacing w:val="-4"/>
          <w:kern w:val="0"/>
          <w:sz w:val="21"/>
          <w:szCs w:val="21"/>
          <w:u w:val="single"/>
        </w:rPr>
        <w:t xml:space="preserve">              </w:t>
      </w:r>
    </w:p>
    <w:p w14:paraId="065545E7">
      <w:pPr>
        <w:widowControl/>
        <w:autoSpaceDE w:val="0"/>
        <w:autoSpaceDN w:val="0"/>
        <w:spacing w:beforeLines="0" w:line="340" w:lineRule="exact"/>
        <w:ind w:firstLine="406" w:firstLineChars="200"/>
        <w:jc w:val="left"/>
        <w:rPr>
          <w:rFonts w:hint="eastAsia" w:ascii="仿宋_GB2312" w:hAnsi="仿宋_GB2312" w:eastAsia="仿宋_GB2312" w:cs="仿宋_GB2312"/>
          <w:b/>
          <w:bCs/>
          <w:color w:val="auto"/>
          <w:spacing w:val="-4"/>
          <w:kern w:val="0"/>
          <w:sz w:val="21"/>
          <w:szCs w:val="21"/>
        </w:rPr>
      </w:pPr>
    </w:p>
    <w:p w14:paraId="5CC2E883">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仿宋_GB2312" w:hAnsi="仿宋_GB2312" w:eastAsia="仿宋_GB2312" w:cs="仿宋_GB2312"/>
          <w:b/>
          <w:bCs/>
          <w:color w:val="auto"/>
          <w:spacing w:val="-4"/>
          <w:kern w:val="0"/>
          <w:sz w:val="21"/>
          <w:szCs w:val="21"/>
          <w:highlight w:val="none"/>
        </w:rPr>
      </w:pPr>
      <w:r>
        <w:rPr>
          <w:rFonts w:hint="eastAsia" w:ascii="仿宋_GB2312" w:hAnsi="仿宋_GB2312" w:eastAsia="仿宋_GB2312" w:cs="仿宋_GB2312"/>
          <w:b/>
          <w:bCs/>
          <w:color w:val="auto"/>
          <w:spacing w:val="-4"/>
          <w:kern w:val="0"/>
          <w:sz w:val="21"/>
          <w:szCs w:val="21"/>
        </w:rPr>
        <w:t>注：</w:t>
      </w:r>
      <w:r>
        <w:rPr>
          <w:rFonts w:hint="eastAsia" w:ascii="仿宋_GB2312" w:hAnsi="仿宋_GB2312" w:eastAsia="仿宋_GB2312" w:cs="仿宋_GB2312"/>
          <w:b/>
          <w:bCs/>
          <w:color w:val="auto"/>
          <w:spacing w:val="-4"/>
          <w:kern w:val="0"/>
          <w:sz w:val="21"/>
          <w:szCs w:val="21"/>
          <w:lang w:val="en-US" w:eastAsia="zh-CN"/>
        </w:rPr>
        <w:t>1.</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》需由</w:t>
      </w:r>
      <w:r>
        <w:rPr>
          <w:rFonts w:hint="eastAsia" w:ascii="仿宋_GB2312" w:hAnsi="仿宋_GB2312" w:eastAsia="仿宋_GB2312" w:cs="仿宋_GB2312"/>
          <w:b/>
          <w:bCs/>
          <w:color w:val="auto"/>
          <w:spacing w:val="-4"/>
          <w:kern w:val="0"/>
          <w:sz w:val="21"/>
          <w:szCs w:val="21"/>
        </w:rPr>
        <w:t>投标供应商负责人签字并加盖单位公章后，扫描上传至投标文件</w:t>
      </w:r>
      <w:r>
        <w:rPr>
          <w:rFonts w:hint="eastAsia" w:ascii="仿宋_GB2312" w:hAnsi="仿宋_GB2312" w:eastAsia="仿宋_GB2312" w:cs="仿宋_GB2312"/>
          <w:b/>
          <w:bCs/>
          <w:color w:val="auto"/>
          <w:spacing w:val="-4"/>
          <w:kern w:val="0"/>
          <w:sz w:val="21"/>
          <w:szCs w:val="21"/>
          <w:highlight w:val="none"/>
        </w:rPr>
        <w:t>一并提交。</w:t>
      </w:r>
    </w:p>
    <w:p w14:paraId="7B4AE0DD">
      <w:pPr>
        <w:pStyle w:val="2"/>
        <w:ind w:firstLine="811" w:firstLineChars="400"/>
        <w:rPr>
          <w:rFonts w:hint="eastAsia" w:ascii="仿宋_GB2312" w:hAnsi="仿宋_GB2312" w:eastAsia="仿宋_GB2312" w:cs="仿宋_GB2312"/>
          <w:kern w:val="2"/>
          <w:sz w:val="21"/>
          <w:szCs w:val="21"/>
          <w:lang w:val="en-US" w:eastAsia="zh-CN" w:bidi="ar"/>
        </w:rPr>
      </w:pPr>
      <w:r>
        <w:rPr>
          <w:rFonts w:hint="eastAsia" w:ascii="仿宋_GB2312" w:hAnsi="仿宋_GB2312" w:eastAsia="仿宋_GB2312" w:cs="仿宋_GB2312"/>
          <w:b/>
          <w:bCs/>
          <w:color w:val="auto"/>
          <w:spacing w:val="-4"/>
          <w:kern w:val="0"/>
          <w:sz w:val="21"/>
          <w:szCs w:val="21"/>
          <w:highlight w:val="none"/>
          <w:lang w:val="en-US" w:eastAsia="zh-CN"/>
        </w:rPr>
        <w:t>2.</w:t>
      </w:r>
      <w:r>
        <w:rPr>
          <w:rFonts w:hint="eastAsia" w:ascii="仿宋_GB2312" w:hAnsi="仿宋_GB2312" w:eastAsia="仿宋_GB2312" w:cs="仿宋_GB2312"/>
          <w:b/>
          <w:bCs/>
          <w:color w:val="auto"/>
          <w:spacing w:val="-4"/>
          <w:kern w:val="0"/>
          <w:sz w:val="21"/>
          <w:szCs w:val="21"/>
          <w:highlight w:val="none"/>
        </w:rPr>
        <w:t>根据《深圳市财政局关于在采购文件及深圳政府采购智慧平台增设供应商投标特别警示条款等事宜的通知》（深财购〔2025〕7号）</w:t>
      </w:r>
      <w:r>
        <w:rPr>
          <w:rFonts w:hint="eastAsia" w:ascii="仿宋_GB2312" w:hAnsi="仿宋_GB2312" w:eastAsia="仿宋_GB2312" w:cs="仿宋_GB2312"/>
          <w:b/>
          <w:bCs/>
          <w:color w:val="auto"/>
          <w:spacing w:val="-4"/>
          <w:kern w:val="0"/>
          <w:sz w:val="21"/>
          <w:szCs w:val="21"/>
          <w:highlight w:val="none"/>
          <w:lang w:val="en-US" w:eastAsia="zh-CN"/>
        </w:rPr>
        <w:t>的要求</w:t>
      </w:r>
      <w:r>
        <w:rPr>
          <w:rFonts w:hint="eastAsia" w:ascii="仿宋_GB2312" w:hAnsi="仿宋_GB2312" w:eastAsia="仿宋_GB2312" w:cs="仿宋_GB2312"/>
          <w:b/>
          <w:bCs/>
          <w:color w:val="auto"/>
          <w:spacing w:val="-4"/>
          <w:kern w:val="0"/>
          <w:sz w:val="21"/>
          <w:szCs w:val="21"/>
          <w:highlight w:val="none"/>
        </w:rPr>
        <w:t>，</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lang w:val="en-US" w:eastAsia="zh-CN"/>
        </w:rPr>
        <w:t>政府采购违法行为风险知悉确认书</w:t>
      </w:r>
      <w:r>
        <w:rPr>
          <w:rFonts w:hint="eastAsia" w:ascii="仿宋_GB2312" w:hAnsi="仿宋_GB2312" w:eastAsia="仿宋_GB2312" w:cs="仿宋_GB2312"/>
          <w:b/>
          <w:bCs/>
          <w:color w:val="auto"/>
          <w:spacing w:val="-4"/>
          <w:kern w:val="0"/>
          <w:sz w:val="21"/>
          <w:szCs w:val="21"/>
          <w:lang w:eastAsia="zh-CN"/>
        </w:rPr>
        <w:t>》</w:t>
      </w:r>
      <w:r>
        <w:rPr>
          <w:rFonts w:hint="eastAsia" w:ascii="仿宋_GB2312" w:hAnsi="仿宋_GB2312" w:eastAsia="仿宋_GB2312" w:cs="仿宋_GB2312"/>
          <w:b/>
          <w:bCs/>
          <w:color w:val="auto"/>
          <w:spacing w:val="-4"/>
          <w:kern w:val="0"/>
          <w:sz w:val="21"/>
          <w:szCs w:val="21"/>
          <w:highlight w:val="none"/>
        </w:rPr>
        <w:t>用于对供应商违法行为的提醒，不作为供应商资格性审查及符合性审查条件。</w:t>
      </w:r>
    </w:p>
    <w:p w14:paraId="46162A56">
      <w:pPr>
        <w:widowControl/>
        <w:jc w:val="center"/>
        <w:rPr>
          <w:rFonts w:hint="eastAsia" w:ascii="黑体" w:hAnsi="宋体" w:eastAsia="黑体"/>
          <w:kern w:val="0"/>
          <w:sz w:val="24"/>
          <w:szCs w:val="20"/>
        </w:rPr>
      </w:pPr>
    </w:p>
    <w:p w14:paraId="2465188B">
      <w:pPr>
        <w:widowControl/>
        <w:jc w:val="center"/>
        <w:rPr>
          <w:rFonts w:hint="eastAsia" w:ascii="黑体" w:hAnsi="宋体" w:eastAsia="黑体"/>
          <w:kern w:val="0"/>
          <w:sz w:val="24"/>
          <w:szCs w:val="20"/>
        </w:rPr>
      </w:pPr>
    </w:p>
    <w:p w14:paraId="5865291D">
      <w:pPr>
        <w:widowControl/>
        <w:jc w:val="center"/>
        <w:rPr>
          <w:rFonts w:hint="eastAsia" w:ascii="黑体" w:hAnsi="宋体" w:eastAsia="黑体"/>
          <w:kern w:val="0"/>
          <w:sz w:val="24"/>
          <w:szCs w:val="20"/>
        </w:rPr>
      </w:pPr>
    </w:p>
    <w:p w14:paraId="0EC7819A">
      <w:pPr>
        <w:widowControl/>
        <w:jc w:val="center"/>
        <w:rPr>
          <w:rFonts w:hint="eastAsia" w:ascii="黑体" w:hAnsi="宋体" w:eastAsia="黑体"/>
          <w:kern w:val="0"/>
          <w:sz w:val="24"/>
          <w:szCs w:val="20"/>
        </w:rPr>
      </w:pPr>
    </w:p>
    <w:p w14:paraId="75F32F80">
      <w:pPr>
        <w:widowControl/>
        <w:jc w:val="center"/>
        <w:rPr>
          <w:rFonts w:hint="eastAsia" w:ascii="黑体" w:hAnsi="宋体" w:eastAsia="黑体"/>
          <w:kern w:val="0"/>
          <w:sz w:val="24"/>
          <w:szCs w:val="20"/>
        </w:rPr>
      </w:pPr>
    </w:p>
    <w:p w14:paraId="6E887D3E">
      <w:pPr>
        <w:widowControl/>
        <w:jc w:val="center"/>
        <w:rPr>
          <w:rFonts w:hint="eastAsia" w:ascii="黑体" w:hAnsi="宋体" w:eastAsia="黑体"/>
          <w:kern w:val="0"/>
          <w:sz w:val="24"/>
          <w:szCs w:val="20"/>
        </w:rPr>
      </w:pPr>
    </w:p>
    <w:p w14:paraId="5BA8313A">
      <w:pPr>
        <w:widowControl/>
        <w:jc w:val="center"/>
        <w:rPr>
          <w:rFonts w:ascii="黑体" w:hAnsi="宋体" w:eastAsia="黑体"/>
          <w:kern w:val="0"/>
          <w:sz w:val="24"/>
          <w:szCs w:val="20"/>
        </w:rPr>
      </w:pPr>
      <w:r>
        <w:rPr>
          <w:rFonts w:hint="eastAsia" w:ascii="黑体" w:hAnsi="宋体" w:eastAsia="黑体"/>
          <w:kern w:val="0"/>
          <w:sz w:val="24"/>
          <w:szCs w:val="20"/>
        </w:rPr>
        <w:t>（</w:t>
      </w:r>
      <w:r>
        <w:rPr>
          <w:rFonts w:hint="eastAsia" w:ascii="黑体" w:hAnsi="宋体" w:eastAsia="黑体"/>
          <w:kern w:val="0"/>
          <w:sz w:val="24"/>
          <w:szCs w:val="20"/>
          <w:lang w:val="en-US" w:eastAsia="zh-CN"/>
        </w:rPr>
        <w:t>二</w:t>
      </w:r>
      <w:r>
        <w:rPr>
          <w:rFonts w:hint="eastAsia" w:ascii="黑体" w:hAnsi="宋体" w:eastAsia="黑体"/>
          <w:kern w:val="0"/>
          <w:sz w:val="24"/>
          <w:szCs w:val="20"/>
        </w:rPr>
        <w:t>）投标人认为需要加以说明的其他内容（格式自定）</w:t>
      </w:r>
    </w:p>
    <w:p w14:paraId="495EF328">
      <w:pPr>
        <w:ind w:left="0" w:leftChars="0" w:firstLine="0" w:firstLineChars="0"/>
        <w:rPr>
          <w:rFonts w:hint="eastAsia" w:ascii="仿宋_GB2312" w:hAnsi="仿宋_GB2312" w:eastAsia="仿宋_GB2312" w:cs="仿宋_GB2312"/>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3D41A1"/>
    <w:multiLevelType w:val="multilevel"/>
    <w:tmpl w:val="7A3D41A1"/>
    <w:lvl w:ilvl="0" w:tentative="0">
      <w:start w:val="1"/>
      <w:numFmt w:val="chineseCountingThousand"/>
      <w:lvlText w:val="第%1章"/>
      <w:lvlJc w:val="left"/>
      <w:pPr>
        <w:tabs>
          <w:tab w:val="left" w:pos="442"/>
        </w:tabs>
        <w:ind w:left="442" w:hanging="442"/>
      </w:pPr>
      <w:rPr>
        <w:rFonts w:hint="eastAsia"/>
      </w:rPr>
    </w:lvl>
    <w:lvl w:ilvl="1" w:tentative="0">
      <w:start w:val="1"/>
      <w:numFmt w:val="decimal"/>
      <w:isLgl/>
      <w:lvlText w:val="%1.%2"/>
      <w:lvlJc w:val="left"/>
      <w:pPr>
        <w:tabs>
          <w:tab w:val="left" w:pos="578"/>
        </w:tabs>
        <w:ind w:left="578" w:hanging="578"/>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pStyle w:val="5"/>
      <w:isLgl/>
      <w:suff w:val="space"/>
      <w:lvlText w:val="%1.%2.%3"/>
      <w:lvlJc w:val="left"/>
      <w:pPr>
        <w:ind w:left="2280" w:hanging="720"/>
      </w:pPr>
      <w:rPr>
        <w:rFonts w:hint="eastAsia"/>
        <w:b w:val="0"/>
        <w:bCs w:val="0"/>
        <w:i w:val="0"/>
        <w:iCs w:val="0"/>
        <w:caps w:val="0"/>
        <w:smallCaps w:val="0"/>
        <w:strike w:val="0"/>
        <w:dstrike w:val="0"/>
        <w:vanish w:val="0"/>
        <w:spacing w:val="0"/>
        <w:position w:val="0"/>
        <w:u w:val="none"/>
        <w:vertAlign w:val="baseline"/>
      </w:rPr>
    </w:lvl>
    <w:lvl w:ilvl="3" w:tentative="0">
      <w:start w:val="1"/>
      <w:numFmt w:val="decimal"/>
      <w:isLgl/>
      <w:lvlText w:val="%1.%2.%3.%4"/>
      <w:lvlJc w:val="left"/>
      <w:pPr>
        <w:tabs>
          <w:tab w:val="left" w:pos="964"/>
        </w:tabs>
        <w:ind w:left="964" w:hanging="964"/>
      </w:pPr>
      <w:rPr>
        <w:rFonts w:hint="eastAsia"/>
        <w:b w:val="0"/>
        <w:bCs w:val="0"/>
        <w:i w:val="0"/>
        <w:iCs w:val="0"/>
        <w:caps w:val="0"/>
        <w:smallCaps w:val="0"/>
        <w:strike w:val="0"/>
        <w:dstrike w:val="0"/>
        <w:vanish w:val="0"/>
        <w:spacing w:val="0"/>
        <w:position w:val="0"/>
        <w:u w:val="none"/>
        <w:vertAlign w:val="baseline"/>
      </w:rPr>
    </w:lvl>
    <w:lvl w:ilvl="4" w:tentative="0">
      <w:start w:val="1"/>
      <w:numFmt w:val="decimal"/>
      <w:isLgl/>
      <w:lvlText w:val="%1.%2.%3.%4.%5"/>
      <w:lvlJc w:val="left"/>
      <w:pPr>
        <w:tabs>
          <w:tab w:val="left" w:pos="1077"/>
        </w:tabs>
        <w:ind w:left="1077" w:hanging="1077"/>
      </w:pPr>
      <w:rPr>
        <w:rFonts w:hint="default" w:ascii="Cambria" w:hAnsi="Cambria"/>
        <w:b w:val="0"/>
        <w:bCs w:val="0"/>
        <w:i w:val="0"/>
        <w:iCs w:val="0"/>
        <w:caps w:val="0"/>
        <w:smallCaps w:val="0"/>
        <w:strike w:val="0"/>
        <w:dstrike w:val="0"/>
        <w:vanish w:val="0"/>
        <w:color w:val="000000"/>
        <w:spacing w:val="0"/>
        <w:position w:val="0"/>
        <w:u w:val="none"/>
        <w:vertAlign w:val="baseline"/>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079E289E"/>
    <w:rsid w:val="02E512A4"/>
    <w:rsid w:val="079E289E"/>
    <w:rsid w:val="0C012C2E"/>
    <w:rsid w:val="0D5F19BA"/>
    <w:rsid w:val="0D70006B"/>
    <w:rsid w:val="0E4A15BC"/>
    <w:rsid w:val="0FC656C5"/>
    <w:rsid w:val="130F79DE"/>
    <w:rsid w:val="23F32A04"/>
    <w:rsid w:val="27D56FF1"/>
    <w:rsid w:val="2A1B4842"/>
    <w:rsid w:val="2B362104"/>
    <w:rsid w:val="2B7D1BCC"/>
    <w:rsid w:val="2CAB4BEF"/>
    <w:rsid w:val="2D4D587B"/>
    <w:rsid w:val="30DB7C0B"/>
    <w:rsid w:val="31EE7CB9"/>
    <w:rsid w:val="32496611"/>
    <w:rsid w:val="33F26834"/>
    <w:rsid w:val="3A3000B7"/>
    <w:rsid w:val="40181D19"/>
    <w:rsid w:val="42460C12"/>
    <w:rsid w:val="51AD17DB"/>
    <w:rsid w:val="557F0A71"/>
    <w:rsid w:val="5A1A2FE7"/>
    <w:rsid w:val="5FA40A7B"/>
    <w:rsid w:val="61264F77"/>
    <w:rsid w:val="62105ED3"/>
    <w:rsid w:val="6A3509CB"/>
    <w:rsid w:val="7253637B"/>
    <w:rsid w:val="7EC32874"/>
    <w:rsid w:val="7F746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outlineLvl w:val="0"/>
    </w:pPr>
    <w:rPr>
      <w:rFonts w:asciiTheme="minorAscii" w:hAnsiTheme="minorAscii"/>
      <w:b/>
      <w:kern w:val="44"/>
      <w:sz w:val="44"/>
    </w:rPr>
  </w:style>
  <w:style w:type="paragraph" w:styleId="4">
    <w:name w:val="heading 2"/>
    <w:basedOn w:val="1"/>
    <w:next w:val="1"/>
    <w:semiHidden/>
    <w:unhideWhenUsed/>
    <w:qFormat/>
    <w:uiPriority w:val="0"/>
    <w:pPr>
      <w:keepNext/>
      <w:keepLines/>
      <w:spacing w:beforeLines="0" w:beforeAutospacing="0" w:afterLines="0" w:afterAutospacing="0" w:line="240" w:lineRule="auto"/>
      <w:outlineLvl w:val="1"/>
    </w:pPr>
    <w:rPr>
      <w:rFonts w:ascii="Arial" w:hAnsi="Arial" w:eastAsia="黑体"/>
      <w:b/>
      <w:sz w:val="28"/>
    </w:rPr>
  </w:style>
  <w:style w:type="paragraph" w:styleId="5">
    <w:name w:val="heading 3"/>
    <w:basedOn w:val="1"/>
    <w:next w:val="1"/>
    <w:unhideWhenUsed/>
    <w:qFormat/>
    <w:uiPriority w:val="9"/>
    <w:pPr>
      <w:numPr>
        <w:ilvl w:val="2"/>
        <w:numId w:val="1"/>
      </w:numPr>
      <w:spacing w:before="50" w:beforeLines="50"/>
      <w:ind w:left="567" w:firstLine="0" w:firstLineChars="0"/>
      <w:jc w:val="left"/>
      <w:outlineLvl w:val="2"/>
    </w:pPr>
    <w:rPr>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6">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7">
    <w:name w:val="Body Text"/>
    <w:basedOn w:val="1"/>
    <w:next w:val="8"/>
    <w:qFormat/>
    <w:uiPriority w:val="0"/>
    <w:pPr>
      <w:spacing w:after="120"/>
      <w:jc w:val="left"/>
    </w:pPr>
    <w:rPr>
      <w:rFonts w:ascii="Times New Roman" w:hAnsi="Times New Roman"/>
      <w:szCs w:val="20"/>
      <w:lang w:eastAsia="zh-TW"/>
    </w:rPr>
  </w:style>
  <w:style w:type="paragraph" w:styleId="8">
    <w:name w:val="Body Text 2"/>
    <w:basedOn w:val="1"/>
    <w:qFormat/>
    <w:uiPriority w:val="0"/>
    <w:pPr>
      <w:spacing w:line="360" w:lineRule="auto"/>
    </w:pPr>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列出段落1"/>
    <w:basedOn w:val="1"/>
    <w:qFormat/>
    <w:uiPriority w:val="0"/>
    <w:pPr>
      <w:ind w:firstLine="420"/>
      <w:jc w:val="left"/>
    </w:pPr>
    <w:rPr>
      <w:rFonts w:ascii="Times New Roman" w:hAnsi="Times New Roman" w:eastAsia="仿宋_GB2312"/>
      <w:szCs w:val="20"/>
      <w:lang w:eastAsia="zh-TW"/>
    </w:rPr>
  </w:style>
  <w:style w:type="table" w:customStyle="1" w:styleId="13">
    <w:name w:val="网格型1"/>
    <w:basedOn w:val="9"/>
    <w:autoRedefine/>
    <w:qFormat/>
    <w:uiPriority w:val="39"/>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1808</Words>
  <Characters>1813</Characters>
  <Lines>0</Lines>
  <Paragraphs>0</Paragraphs>
  <TotalTime>0</TotalTime>
  <ScaleCrop>false</ScaleCrop>
  <LinksUpToDate>false</LinksUpToDate>
  <CharactersWithSpaces>1879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2022-07-26T07:27:00Z</dcterms:created>
  <dc:creator>醨</dc:creator>
  <cp:lastModifiedBy>刘朝然</cp:lastModifiedBy>
  <dcterms:modified xsi:type="dcterms:W3CDTF">2026-08-07T06:16:31Z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7BCCC48E6FD4492BA973FE8B426D3ECB_13</vt:lpwstr>
  </property>
  <property fmtid="{D5CDD505-2E9C-101B-9397-08002B2CF9AE}" pid="4" name="KSOTemplateDocerSaveRecord">
    <vt:lpwstr>eyJoZGlkIjoiYWJhZTA5NTBhM2JlYTAyM2RkNjBjZWNkZmNhMzEzN2IiLCJ1c2VySWQiOiIxNDc4MjUzNDUyIn0=</vt:lpwstr>
  </property>
</Properties>
</file>