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88B62">
      <w:pPr>
        <w:jc w:val="center"/>
        <w:rPr>
          <w:rFonts w:hint="eastAsia" w:ascii="黑体" w:eastAsia="黑体"/>
          <w:b w:val="0"/>
          <w:kern w:val="0"/>
          <w:sz w:val="32"/>
          <w:szCs w:val="32"/>
        </w:rPr>
      </w:pPr>
      <w:bookmarkStart w:id="0" w:name="_Hlk72092634"/>
      <w:r>
        <w:rPr>
          <w:rFonts w:hint="eastAsia" w:ascii="方正小标宋简体" w:hAnsi="方正小标宋简体" w:eastAsia="方正小标宋简体" w:cs="方正小标宋简体"/>
          <w:b w:val="0"/>
          <w:kern w:val="0"/>
          <w:sz w:val="44"/>
          <w:szCs w:val="44"/>
        </w:rPr>
        <w:t>实质性条款响应情况表</w:t>
      </w:r>
      <w:bookmarkEnd w:id="0"/>
    </w:p>
    <w:p w14:paraId="1C90E809">
      <w:pPr>
        <w:widowControl w:val="0"/>
        <w:jc w:val="both"/>
        <w:rPr>
          <w:rFonts w:hint="eastAsia" w:ascii="宋体" w:hAnsi="宋体" w:eastAsia="宋体" w:cs="宋体"/>
          <w:b/>
          <w:bCs/>
          <w:snapToGrid/>
          <w:color w:val="FF0000"/>
          <w:sz w:val="20"/>
          <w:szCs w:val="20"/>
          <w:lang w:val="en-US" w:eastAsia="zh-Hans"/>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6"/>
        <w:gridCol w:w="3100"/>
        <w:gridCol w:w="2861"/>
        <w:gridCol w:w="1050"/>
        <w:gridCol w:w="1105"/>
      </w:tblGrid>
      <w:tr w14:paraId="39EDB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6" w:type="dxa"/>
            <w:vAlign w:val="center"/>
          </w:tcPr>
          <w:p w14:paraId="69645EC4">
            <w:pPr>
              <w:pStyle w:val="9"/>
              <w:widowControl w:val="0"/>
              <w:numPr>
                <w:ilvl w:val="-1"/>
                <w:numId w:val="0"/>
              </w:numPr>
              <w:jc w:val="center"/>
              <w:rPr>
                <w:rFonts w:hint="eastAsia" w:ascii="仿宋_GB2312" w:hAnsi="仿宋_GB2312" w:eastAsia="仿宋_GB2312" w:cs="仿宋_GB2312"/>
                <w:sz w:val="19"/>
                <w:vertAlign w:val="baseline"/>
                <w:lang w:val="en-US" w:eastAsia="zh-CN"/>
              </w:rPr>
            </w:pPr>
            <w:r>
              <w:rPr>
                <w:rFonts w:hint="eastAsia" w:ascii="仿宋_GB2312" w:hAnsi="仿宋_GB2312" w:eastAsia="仿宋_GB2312" w:cs="仿宋_GB2312"/>
                <w:sz w:val="19"/>
                <w:vertAlign w:val="baseline"/>
                <w:lang w:val="en-US" w:eastAsia="zh-CN"/>
              </w:rPr>
              <w:t>序号</w:t>
            </w:r>
          </w:p>
        </w:tc>
        <w:tc>
          <w:tcPr>
            <w:tcW w:w="3100" w:type="dxa"/>
            <w:vAlign w:val="center"/>
          </w:tcPr>
          <w:p w14:paraId="4460BEB3">
            <w:pPr>
              <w:pStyle w:val="9"/>
              <w:widowControl w:val="0"/>
              <w:numPr>
                <w:ilvl w:val="-1"/>
                <w:numId w:val="0"/>
              </w:numPr>
              <w:jc w:val="center"/>
              <w:rPr>
                <w:rFonts w:ascii="仿宋_GB2312" w:hAnsi="仿宋_GB2312" w:eastAsia="仿宋_GB2312" w:cs="仿宋_GB2312"/>
                <w:sz w:val="19"/>
                <w:vertAlign w:val="baseline"/>
              </w:rPr>
            </w:pPr>
            <w:r>
              <w:rPr>
                <w:rFonts w:hint="eastAsia" w:ascii="仿宋_GB2312" w:hAnsi="仿宋_GB2312" w:eastAsia="仿宋_GB2312" w:cs="仿宋_GB2312"/>
                <w:kern w:val="0"/>
                <w:sz w:val="19"/>
                <w:szCs w:val="20"/>
              </w:rPr>
              <w:t>实质性条款具体内容</w:t>
            </w:r>
          </w:p>
        </w:tc>
        <w:tc>
          <w:tcPr>
            <w:tcW w:w="2861" w:type="dxa"/>
            <w:vAlign w:val="center"/>
          </w:tcPr>
          <w:p w14:paraId="7F4FA92B">
            <w:pPr>
              <w:pStyle w:val="9"/>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c>
          <w:tcPr>
            <w:tcW w:w="1050" w:type="dxa"/>
            <w:shd w:val="clear"/>
            <w:vAlign w:val="center"/>
          </w:tcPr>
          <w:p w14:paraId="66E66E9C">
            <w:pPr>
              <w:pStyle w:val="9"/>
              <w:widowControl w:val="0"/>
              <w:numPr>
                <w:ilvl w:val="-1"/>
                <w:numId w:val="0"/>
              </w:numPr>
              <w:ind w:left="0" w:leftChars="0" w:firstLine="0" w:firstLineChars="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偏离情况</w:t>
            </w:r>
          </w:p>
        </w:tc>
        <w:tc>
          <w:tcPr>
            <w:tcW w:w="1105" w:type="dxa"/>
            <w:shd w:val="clear"/>
            <w:vAlign w:val="center"/>
          </w:tcPr>
          <w:p w14:paraId="638DB655">
            <w:pPr>
              <w:pStyle w:val="9"/>
              <w:widowControl w:val="0"/>
              <w:numPr>
                <w:ilvl w:val="-1"/>
                <w:numId w:val="0"/>
              </w:numPr>
              <w:ind w:left="0" w:leftChars="0" w:firstLine="0" w:firstLineChars="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说明</w:t>
            </w:r>
          </w:p>
        </w:tc>
      </w:tr>
      <w:tr w14:paraId="4515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6" w:type="dxa"/>
            <w:vAlign w:val="center"/>
          </w:tcPr>
          <w:p w14:paraId="1D15382E">
            <w:pPr>
              <w:pStyle w:val="9"/>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3100" w:type="dxa"/>
            <w:vAlign w:val="center"/>
          </w:tcPr>
          <w:p w14:paraId="56DD030C">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2861" w:type="dxa"/>
            <w:vAlign w:val="center"/>
          </w:tcPr>
          <w:p w14:paraId="38FAFA27">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c>
          <w:tcPr>
            <w:tcW w:w="1050" w:type="dxa"/>
            <w:vAlign w:val="center"/>
          </w:tcPr>
          <w:p w14:paraId="0FF46393">
            <w:pPr>
              <w:widowControl w:val="0"/>
              <w:jc w:val="both"/>
              <w:rPr>
                <w:rFonts w:hint="eastAsia" w:ascii="仿宋_GB2312" w:hAnsi="仿宋_GB2312" w:eastAsia="仿宋_GB2312" w:cs="仿宋_GB2312"/>
                <w:snapToGrid/>
                <w:color w:val="auto"/>
                <w:sz w:val="20"/>
                <w:szCs w:val="20"/>
                <w:lang w:val="en-US" w:eastAsia="zh-Hans"/>
              </w:rPr>
            </w:pPr>
          </w:p>
        </w:tc>
        <w:tc>
          <w:tcPr>
            <w:tcW w:w="1105" w:type="dxa"/>
            <w:vAlign w:val="center"/>
          </w:tcPr>
          <w:p w14:paraId="59FEE76E">
            <w:pPr>
              <w:widowControl w:val="0"/>
              <w:jc w:val="both"/>
              <w:rPr>
                <w:rFonts w:hint="eastAsia" w:ascii="仿宋_GB2312" w:hAnsi="仿宋_GB2312" w:eastAsia="仿宋_GB2312" w:cs="仿宋_GB2312"/>
                <w:snapToGrid/>
                <w:color w:val="auto"/>
                <w:sz w:val="20"/>
                <w:szCs w:val="20"/>
                <w:lang w:val="en-US" w:eastAsia="zh-Hans"/>
              </w:rPr>
            </w:pPr>
          </w:p>
        </w:tc>
      </w:tr>
      <w:tr w14:paraId="661E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6" w:type="dxa"/>
            <w:vAlign w:val="center"/>
          </w:tcPr>
          <w:p w14:paraId="49D81D20">
            <w:pPr>
              <w:pStyle w:val="9"/>
              <w:widowControl w:val="0"/>
              <w:numPr>
                <w:ilvl w:val="-1"/>
                <w:numId w:val="0"/>
              </w:numPr>
              <w:jc w:val="both"/>
              <w:rPr>
                <w:rFonts w:hint="default" w:ascii="仿宋_GB2312" w:hAnsi="仿宋_GB2312" w:eastAsia="仿宋_GB2312" w:cs="仿宋_GB2312"/>
                <w:snapToGrid/>
                <w:color w:val="auto"/>
                <w:kern w:val="0"/>
                <w:sz w:val="20"/>
                <w:szCs w:val="20"/>
                <w:lang w:val="en-US" w:eastAsia="zh-CN" w:bidi="ar-SA"/>
              </w:rPr>
            </w:pPr>
            <w:r>
              <w:rPr>
                <w:rFonts w:hint="eastAsia" w:ascii="仿宋_GB2312" w:hAnsi="仿宋_GB2312" w:eastAsia="仿宋_GB2312" w:cs="仿宋_GB2312"/>
                <w:snapToGrid/>
                <w:color w:val="auto"/>
                <w:kern w:val="0"/>
                <w:sz w:val="20"/>
                <w:szCs w:val="20"/>
                <w:lang w:val="en-US" w:eastAsia="zh-CN" w:bidi="ar-SA"/>
              </w:rPr>
              <w:t>2</w:t>
            </w:r>
          </w:p>
        </w:tc>
        <w:tc>
          <w:tcPr>
            <w:tcW w:w="3100" w:type="dxa"/>
            <w:vAlign w:val="center"/>
          </w:tcPr>
          <w:p w14:paraId="0EE388FA">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5BEBCDF4">
            <w:pPr>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2861" w:type="dxa"/>
            <w:vAlign w:val="center"/>
          </w:tcPr>
          <w:p w14:paraId="15030B48">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614CE007">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640134C3">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c>
          <w:tcPr>
            <w:tcW w:w="1050" w:type="dxa"/>
            <w:vAlign w:val="center"/>
          </w:tcPr>
          <w:p w14:paraId="29E8E099">
            <w:pPr>
              <w:pStyle w:val="9"/>
              <w:widowControl w:val="0"/>
              <w:jc w:val="both"/>
              <w:rPr>
                <w:rFonts w:hint="eastAsia" w:ascii="仿宋_GB2312" w:hAnsi="仿宋_GB2312" w:eastAsia="仿宋_GB2312" w:cs="仿宋_GB2312"/>
                <w:snapToGrid/>
                <w:color w:val="auto"/>
                <w:kern w:val="0"/>
                <w:sz w:val="20"/>
                <w:szCs w:val="20"/>
                <w:lang w:val="en-US" w:eastAsia="zh-CN" w:bidi="ar-SA"/>
              </w:rPr>
            </w:pPr>
          </w:p>
        </w:tc>
        <w:tc>
          <w:tcPr>
            <w:tcW w:w="1105" w:type="dxa"/>
            <w:vAlign w:val="center"/>
          </w:tcPr>
          <w:p w14:paraId="31D188D8">
            <w:pPr>
              <w:pStyle w:val="9"/>
              <w:widowControl w:val="0"/>
              <w:jc w:val="both"/>
              <w:rPr>
                <w:rFonts w:hint="eastAsia" w:ascii="仿宋_GB2312" w:hAnsi="仿宋_GB2312" w:eastAsia="仿宋_GB2312" w:cs="仿宋_GB2312"/>
                <w:snapToGrid/>
                <w:color w:val="auto"/>
                <w:kern w:val="0"/>
                <w:sz w:val="20"/>
                <w:szCs w:val="20"/>
                <w:lang w:val="en-US" w:eastAsia="zh-CN" w:bidi="ar-SA"/>
              </w:rPr>
            </w:pPr>
          </w:p>
        </w:tc>
      </w:tr>
      <w:tr w14:paraId="1707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6" w:type="dxa"/>
            <w:vAlign w:val="center"/>
          </w:tcPr>
          <w:p w14:paraId="0C718274">
            <w:pPr>
              <w:pStyle w:val="9"/>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3</w:t>
            </w:r>
          </w:p>
        </w:tc>
        <w:tc>
          <w:tcPr>
            <w:tcW w:w="3100" w:type="dxa"/>
            <w:vAlign w:val="center"/>
          </w:tcPr>
          <w:p w14:paraId="732C35C1">
            <w:pPr>
              <w:pStyle w:val="9"/>
              <w:widowControl w:val="0"/>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snapToGrid/>
                <w:color w:val="auto"/>
                <w:kern w:val="0"/>
                <w:sz w:val="20"/>
                <w:szCs w:val="20"/>
                <w:lang w:val="en-US" w:eastAsia="zh-CN" w:bidi="ar-SA"/>
              </w:rPr>
              <w:t>扫描仪</w:t>
            </w:r>
            <w:r>
              <w:rPr>
                <w:rFonts w:hint="eastAsia" w:ascii="仿宋_GB2312" w:hAnsi="仿宋_GB2312" w:eastAsia="仿宋_GB2312" w:cs="仿宋_GB2312"/>
                <w:snapToGrid/>
                <w:color w:val="auto"/>
                <w:kern w:val="0"/>
                <w:sz w:val="20"/>
                <w:szCs w:val="20"/>
                <w:lang w:val="en-US" w:eastAsia="zh-Hans" w:bidi="ar-SA"/>
              </w:rPr>
              <w:t>属于政府强制性产品认证范围，供应商投标（响应）的产品必须为3C认证产品</w:t>
            </w:r>
            <w:r>
              <w:rPr>
                <w:rFonts w:hint="eastAsia" w:ascii="仿宋_GB2312" w:hAnsi="仿宋_GB2312" w:eastAsia="仿宋_GB2312" w:cs="仿宋_GB2312"/>
                <w:snapToGrid/>
                <w:color w:val="auto"/>
                <w:kern w:val="0"/>
                <w:sz w:val="20"/>
                <w:szCs w:val="20"/>
                <w:lang w:val="en-US" w:eastAsia="zh-CN" w:bidi="ar-SA"/>
              </w:rPr>
              <w:t>。</w:t>
            </w:r>
          </w:p>
        </w:tc>
        <w:tc>
          <w:tcPr>
            <w:tcW w:w="2861" w:type="dxa"/>
            <w:vAlign w:val="center"/>
          </w:tcPr>
          <w:p w14:paraId="6B25A4E4">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提供有效的3C认证证书扫描件。</w:t>
            </w:r>
          </w:p>
        </w:tc>
        <w:tc>
          <w:tcPr>
            <w:tcW w:w="1050" w:type="dxa"/>
            <w:vAlign w:val="center"/>
          </w:tcPr>
          <w:p w14:paraId="704D5733">
            <w:pPr>
              <w:widowControl w:val="0"/>
              <w:jc w:val="both"/>
              <w:rPr>
                <w:rFonts w:hint="eastAsia" w:ascii="仿宋_GB2312" w:hAnsi="仿宋_GB2312" w:eastAsia="仿宋_GB2312" w:cs="仿宋_GB2312"/>
                <w:snapToGrid/>
                <w:color w:val="auto"/>
                <w:kern w:val="0"/>
                <w:sz w:val="20"/>
                <w:szCs w:val="20"/>
                <w:lang w:val="en-US" w:eastAsia="zh-Hans" w:bidi="ar-SA"/>
              </w:rPr>
            </w:pPr>
          </w:p>
        </w:tc>
        <w:tc>
          <w:tcPr>
            <w:tcW w:w="1105" w:type="dxa"/>
            <w:vAlign w:val="center"/>
          </w:tcPr>
          <w:p w14:paraId="47D0FF68">
            <w:pPr>
              <w:widowControl w:val="0"/>
              <w:jc w:val="both"/>
              <w:rPr>
                <w:rFonts w:hint="eastAsia" w:ascii="仿宋_GB2312" w:hAnsi="仿宋_GB2312" w:eastAsia="仿宋_GB2312" w:cs="仿宋_GB2312"/>
                <w:snapToGrid/>
                <w:color w:val="auto"/>
                <w:kern w:val="0"/>
                <w:sz w:val="20"/>
                <w:szCs w:val="20"/>
                <w:lang w:val="en-US" w:eastAsia="zh-Hans" w:bidi="ar-SA"/>
              </w:rPr>
            </w:pPr>
          </w:p>
        </w:tc>
      </w:tr>
    </w:tbl>
    <w:p w14:paraId="3E292CFE">
      <w:pPr>
        <w:widowControl w:val="0"/>
        <w:jc w:val="both"/>
        <w:rPr>
          <w:rFonts w:hint="eastAsia" w:ascii="宋体" w:hAnsi="宋体" w:eastAsia="宋体" w:cs="宋体"/>
          <w:b/>
          <w:bCs/>
          <w:snapToGrid/>
          <w:color w:val="FF0000"/>
          <w:sz w:val="20"/>
          <w:szCs w:val="20"/>
          <w:lang w:val="en-US" w:eastAsia="zh-Hans"/>
        </w:rPr>
      </w:pPr>
    </w:p>
    <w:p w14:paraId="163C5C63">
      <w:pPr>
        <w:widowControl w:val="0"/>
        <w:jc w:val="both"/>
        <w:rPr>
          <w:rFonts w:hint="eastAsia" w:ascii="宋体" w:hAnsi="宋体" w:eastAsia="宋体" w:cs="宋体"/>
          <w:b/>
          <w:bCs/>
          <w:snapToGrid/>
          <w:color w:val="FF0000"/>
          <w:sz w:val="20"/>
          <w:szCs w:val="20"/>
          <w:lang w:val="en-US" w:eastAsia="zh-Hans"/>
        </w:rPr>
      </w:pPr>
      <w:bookmarkStart w:id="4" w:name="_GoBack"/>
      <w:bookmarkEnd w:id="4"/>
    </w:p>
    <w:p w14:paraId="0B992C63">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Hans"/>
        </w:rPr>
        <w:t>注：1.上表所列内容为不可负偏离条款，如未响应或出现负偏离的，将视为未实质性满足征集文件要求，对应采购包作无效投标（响应）处理。</w:t>
      </w:r>
    </w:p>
    <w:p w14:paraId="255639E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2.</w:t>
      </w:r>
      <w:r>
        <w:rPr>
          <w:rFonts w:hint="eastAsia" w:ascii="宋体" w:hAnsi="宋体" w:eastAsia="宋体" w:cs="宋体"/>
          <w:b/>
          <w:bCs/>
          <w:snapToGrid/>
          <w:color w:val="FF0000"/>
          <w:sz w:val="20"/>
          <w:szCs w:val="20"/>
          <w:lang w:val="en-US" w:eastAsia="zh-Hans"/>
        </w:rPr>
        <w:t>“偏离情况”一栏应填写“正偏离”、“负偏离”或“无偏离”，“正偏离”表示“投标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优于实质性条款具体内容要求”，“负偏离”表示“投标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不满足实质性条款具体内容要求”，“无偏离”表示“投标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与实质性条款具体内容要求一致”。</w:t>
      </w:r>
    </w:p>
    <w:p w14:paraId="09FD464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3.</w:t>
      </w:r>
      <w:r>
        <w:rPr>
          <w:rFonts w:hint="eastAsia" w:ascii="宋体" w:hAnsi="宋体" w:eastAsia="宋体" w:cs="宋体"/>
          <w:b/>
          <w:bCs/>
          <w:snapToGrid/>
          <w:color w:val="FF0000"/>
          <w:sz w:val="20"/>
          <w:szCs w:val="20"/>
          <w:lang w:val="en-US" w:eastAsia="zh-Hans"/>
        </w:rPr>
        <w:t>投标（响应）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须按本</w:t>
      </w:r>
      <w:r>
        <w:rPr>
          <w:rFonts w:hint="eastAsia" w:ascii="宋体" w:hAnsi="宋体" w:eastAsia="宋体" w:cs="宋体"/>
          <w:b/>
          <w:bCs/>
          <w:snapToGrid/>
          <w:color w:val="FF0000"/>
          <w:sz w:val="20"/>
          <w:szCs w:val="20"/>
          <w:lang w:val="en-US" w:eastAsia="zh-CN"/>
        </w:rPr>
        <w:t>征集</w:t>
      </w:r>
      <w:r>
        <w:rPr>
          <w:rFonts w:hint="eastAsia" w:ascii="宋体" w:hAnsi="宋体" w:eastAsia="宋体" w:cs="宋体"/>
          <w:b/>
          <w:bCs/>
          <w:snapToGrid/>
          <w:color w:val="FF0000"/>
          <w:sz w:val="20"/>
          <w:szCs w:val="20"/>
          <w:lang w:val="en-US" w:eastAsia="zh-Hans"/>
        </w:rPr>
        <w:t>文件</w:t>
      </w:r>
      <w:r>
        <w:rPr>
          <w:rFonts w:hint="eastAsia" w:ascii="宋体" w:hAnsi="宋体" w:eastAsia="宋体" w:cs="宋体"/>
          <w:b/>
          <w:bCs/>
          <w:snapToGrid/>
          <w:color w:val="FF0000"/>
          <w:sz w:val="20"/>
          <w:szCs w:val="20"/>
          <w:lang w:val="en-US" w:eastAsia="zh-CN"/>
        </w:rPr>
        <w:t>“投标（响应）</w:t>
      </w:r>
      <w:r>
        <w:rPr>
          <w:rFonts w:hint="eastAsia" w:ascii="宋体" w:hAnsi="宋体" w:eastAsia="宋体" w:cs="宋体"/>
          <w:b/>
          <w:bCs/>
          <w:snapToGrid/>
          <w:color w:val="FF0000"/>
          <w:sz w:val="20"/>
          <w:szCs w:val="20"/>
          <w:lang w:val="en-US" w:eastAsia="zh-Hans"/>
        </w:rPr>
        <w:t>文件格式</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模板要求提供</w:t>
      </w:r>
      <w:r>
        <w:rPr>
          <w:rFonts w:hint="eastAsia" w:ascii="宋体" w:hAnsi="宋体" w:eastAsia="宋体" w:cs="宋体"/>
          <w:b/>
          <w:bCs/>
          <w:snapToGrid/>
          <w:color w:val="FF0000"/>
          <w:sz w:val="20"/>
          <w:szCs w:val="20"/>
          <w:lang w:val="en-US" w:eastAsia="zh-CN"/>
        </w:rPr>
        <w:t>相关材料</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任何实质性的变动都可能影响投标</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有效性。</w:t>
      </w:r>
    </w:p>
    <w:p w14:paraId="74274DC6">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4</w:t>
      </w:r>
      <w:r>
        <w:rPr>
          <w:rFonts w:hint="eastAsia" w:ascii="宋体" w:hAnsi="宋体" w:eastAsia="宋体" w:cs="宋体"/>
          <w:b/>
          <w:bCs/>
          <w:snapToGrid/>
          <w:color w:val="FF0000"/>
          <w:sz w:val="20"/>
          <w:szCs w:val="20"/>
          <w:lang w:val="en-US" w:eastAsia="zh-Hans"/>
        </w:rPr>
        <w:t>.要求提供证明</w:t>
      </w:r>
      <w:r>
        <w:rPr>
          <w:rFonts w:hint="eastAsia" w:ascii="宋体" w:hAnsi="宋体" w:eastAsia="宋体" w:cs="宋体"/>
          <w:b/>
          <w:bCs/>
          <w:snapToGrid/>
          <w:color w:val="FF0000"/>
          <w:sz w:val="20"/>
          <w:szCs w:val="20"/>
          <w:lang w:val="en-US" w:eastAsia="zh-CN"/>
        </w:rPr>
        <w:t>材料的</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请在对应节点上传证明材料，</w:t>
      </w:r>
      <w:r>
        <w:rPr>
          <w:rFonts w:hint="eastAsia" w:ascii="宋体" w:hAnsi="宋体" w:eastAsia="宋体" w:cs="宋体"/>
          <w:b/>
          <w:bCs/>
          <w:snapToGrid/>
          <w:color w:val="FF0000"/>
          <w:sz w:val="20"/>
          <w:szCs w:val="20"/>
          <w:lang w:val="en-US" w:eastAsia="zh-Hans"/>
        </w:rPr>
        <w:t>未按格式要求上传到对应位置的将可能导致无效投标（响应），一切后果由供应商自行承担</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未要求提供证明材料的，投标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可以不提供。</w:t>
      </w:r>
    </w:p>
    <w:p w14:paraId="6197AEC1">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CN"/>
        </w:rPr>
        <w:t>5.评审委员会有权对</w:t>
      </w:r>
      <w:r>
        <w:rPr>
          <w:rFonts w:hint="eastAsia" w:ascii="宋体" w:hAnsi="宋体" w:eastAsia="宋体" w:cs="宋体"/>
          <w:b/>
          <w:bCs/>
          <w:snapToGrid/>
          <w:color w:val="FF0000"/>
          <w:sz w:val="20"/>
          <w:szCs w:val="20"/>
          <w:lang w:val="en-US" w:eastAsia="zh-Hans"/>
        </w:rPr>
        <w:t>提供</w:t>
      </w:r>
      <w:r>
        <w:rPr>
          <w:rFonts w:hint="eastAsia" w:ascii="宋体" w:hAnsi="宋体" w:eastAsia="宋体" w:cs="宋体"/>
          <w:b/>
          <w:bCs/>
          <w:snapToGrid/>
          <w:color w:val="FF0000"/>
          <w:sz w:val="20"/>
          <w:szCs w:val="20"/>
          <w:lang w:val="en-US" w:eastAsia="zh-CN"/>
        </w:rPr>
        <w:t>的</w:t>
      </w:r>
      <w:r>
        <w:rPr>
          <w:rFonts w:hint="eastAsia" w:ascii="宋体" w:hAnsi="宋体" w:eastAsia="宋体" w:cs="宋体"/>
          <w:b/>
          <w:bCs/>
          <w:snapToGrid/>
          <w:color w:val="FF0000"/>
          <w:sz w:val="20"/>
          <w:szCs w:val="20"/>
          <w:lang w:val="en-US" w:eastAsia="zh-Hans"/>
        </w:rPr>
        <w:t>证明</w:t>
      </w:r>
      <w:r>
        <w:rPr>
          <w:rFonts w:hint="eastAsia" w:ascii="宋体" w:hAnsi="宋体" w:eastAsia="宋体" w:cs="宋体"/>
          <w:b/>
          <w:bCs/>
          <w:snapToGrid/>
          <w:color w:val="FF0000"/>
          <w:sz w:val="20"/>
          <w:szCs w:val="20"/>
          <w:lang w:val="en-US" w:eastAsia="zh-CN"/>
        </w:rPr>
        <w:t>材料作出判断（作出评审结论）。</w:t>
      </w:r>
    </w:p>
    <w:p w14:paraId="315858FA">
      <w:pPr>
        <w:pStyle w:val="8"/>
        <w:rPr>
          <w:rFonts w:hint="default" w:ascii="宋体" w:hAnsi="宋体" w:eastAsia="宋体" w:cs="宋体"/>
          <w:b/>
          <w:bCs/>
          <w:snapToGrid/>
          <w:color w:val="FF0000"/>
          <w:kern w:val="2"/>
          <w:sz w:val="20"/>
          <w:szCs w:val="20"/>
          <w:lang w:val="en-US" w:eastAsia="zh-Hans" w:bidi="ar-SA"/>
        </w:rPr>
      </w:pPr>
      <w:r>
        <w:rPr>
          <w:rFonts w:hint="eastAsia" w:ascii="宋体" w:hAnsi="宋体" w:cs="宋体"/>
          <w:b/>
          <w:bCs/>
          <w:snapToGrid/>
          <w:color w:val="FF0000"/>
          <w:kern w:val="2"/>
          <w:sz w:val="20"/>
          <w:szCs w:val="20"/>
          <w:lang w:val="en-US" w:eastAsia="zh-CN" w:bidi="ar-SA"/>
        </w:rPr>
        <w:t>6</w:t>
      </w:r>
      <w:r>
        <w:rPr>
          <w:rFonts w:hint="eastAsia" w:ascii="宋体" w:hAnsi="宋体" w:eastAsia="宋体" w:cs="宋体"/>
          <w:b/>
          <w:bCs/>
          <w:snapToGrid/>
          <w:color w:val="FF0000"/>
          <w:kern w:val="2"/>
          <w:sz w:val="20"/>
          <w:szCs w:val="20"/>
          <w:lang w:val="en-US" w:eastAsia="zh-CN" w:bidi="ar-SA"/>
        </w:rPr>
        <w:t>.</w:t>
      </w:r>
      <w:bookmarkStart w:id="1" w:name="_Hlk72096106"/>
      <w:r>
        <w:rPr>
          <w:rFonts w:hint="eastAsia" w:ascii="宋体" w:hAnsi="宋体" w:eastAsia="宋体" w:cs="宋体"/>
          <w:b/>
          <w:bCs/>
          <w:snapToGrid/>
          <w:color w:val="FF0000"/>
          <w:kern w:val="2"/>
          <w:sz w:val="20"/>
          <w:szCs w:val="20"/>
          <w:lang w:val="en-US" w:eastAsia="zh-CN" w:bidi="ar-SA"/>
        </w:rPr>
        <w:t>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响应要求</w:t>
      </w:r>
      <w:bookmarkEnd w:id="1"/>
      <w:r>
        <w:rPr>
          <w:rFonts w:hint="eastAsia" w:ascii="宋体" w:hAnsi="宋体" w:eastAsia="宋体" w:cs="宋体"/>
          <w:b/>
          <w:bCs/>
          <w:snapToGrid/>
          <w:color w:val="FF0000"/>
          <w:kern w:val="2"/>
          <w:sz w:val="20"/>
          <w:szCs w:val="20"/>
          <w:lang w:val="en-US" w:eastAsia="zh-CN" w:bidi="ar-SA"/>
        </w:rPr>
        <w:t>：要求提供证明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（且已对证明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的形式、内容作出明确要求）进行响应的条款</w:t>
      </w:r>
      <w:bookmarkStart w:id="2" w:name="_Hlk73558782"/>
      <w:r>
        <w:rPr>
          <w:rFonts w:hint="eastAsia" w:ascii="宋体" w:hAnsi="宋体" w:eastAsia="宋体" w:cs="宋体"/>
          <w:b/>
          <w:bCs/>
          <w:snapToGrid/>
          <w:color w:val="FF0000"/>
          <w:kern w:val="2"/>
          <w:sz w:val="20"/>
          <w:szCs w:val="20"/>
          <w:lang w:val="en-US" w:eastAsia="zh-CN" w:bidi="ar-SA"/>
        </w:rPr>
        <w:t>应严格依照要求的形式、内容提供证明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，如未提供证明材料（或：证明材料的形式、内容等不符合要求；证明材料显示不符合征集文件采购需求要求；证明材料模糊不清无法判断或未显示是否满足征集文件采购需求要求）</w:t>
      </w:r>
      <w:bookmarkStart w:id="3" w:name="_Hlk73558164"/>
      <w:r>
        <w:rPr>
          <w:rFonts w:hint="eastAsia" w:ascii="宋体" w:hAnsi="宋体" w:eastAsia="宋体" w:cs="宋体"/>
          <w:b/>
          <w:bCs/>
          <w:snapToGrid/>
          <w:color w:val="FF0000"/>
          <w:kern w:val="2"/>
          <w:sz w:val="20"/>
          <w:szCs w:val="20"/>
          <w:lang w:val="en-US" w:eastAsia="zh-CN" w:bidi="ar-SA"/>
        </w:rPr>
        <w:t>，且投标（</w:t>
      </w:r>
      <w:r>
        <w:rPr>
          <w:rFonts w:hint="eastAsia" w:ascii="宋体" w:hAnsi="宋体" w:eastAsia="宋体" w:cs="宋体"/>
          <w:b/>
          <w:bCs/>
          <w:snapToGrid/>
          <w:color w:val="FF0000"/>
          <w:kern w:val="2"/>
          <w:sz w:val="20"/>
          <w:szCs w:val="20"/>
          <w:lang w:val="en-US" w:eastAsia="zh-Hans" w:bidi="ar-SA"/>
        </w:rPr>
        <w:t>响应</w:t>
      </w:r>
      <w:r>
        <w:rPr>
          <w:rFonts w:hint="eastAsia" w:ascii="宋体" w:hAnsi="宋体" w:eastAsia="宋体" w:cs="宋体"/>
          <w:b/>
          <w:bCs/>
          <w:snapToGrid/>
          <w:color w:val="FF0000"/>
          <w:kern w:val="2"/>
          <w:sz w:val="20"/>
          <w:szCs w:val="20"/>
          <w:lang w:val="en-US" w:eastAsia="zh-CN" w:bidi="ar-SA"/>
        </w:rPr>
        <w:t>）供应商在“偏离情况”一栏响应为“正偏离”或“无偏离”的，经评审委员会认定，将判定为负偏离。</w:t>
      </w:r>
      <w:bookmarkEnd w:id="2"/>
      <w:bookmarkEnd w:id="3"/>
    </w:p>
    <w:p w14:paraId="59A9D2E9">
      <w:pPr>
        <w:jc w:val="center"/>
        <w:rPr>
          <w:rFonts w:hint="eastAsia" w:ascii="黑体" w:eastAsia="黑体"/>
          <w:b w:val="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75C81"/>
    <w:rsid w:val="046A36F3"/>
    <w:rsid w:val="0B017CE9"/>
    <w:rsid w:val="0D1D5845"/>
    <w:rsid w:val="0DD26BAF"/>
    <w:rsid w:val="1FC84609"/>
    <w:rsid w:val="212925B3"/>
    <w:rsid w:val="21A02DB6"/>
    <w:rsid w:val="24213A15"/>
    <w:rsid w:val="262E7FE0"/>
    <w:rsid w:val="2BAD5B8F"/>
    <w:rsid w:val="2D92328E"/>
    <w:rsid w:val="2FB13B8E"/>
    <w:rsid w:val="32FF3174"/>
    <w:rsid w:val="3871086C"/>
    <w:rsid w:val="3AE25532"/>
    <w:rsid w:val="3F06588A"/>
    <w:rsid w:val="3F145745"/>
    <w:rsid w:val="400F61DE"/>
    <w:rsid w:val="43707776"/>
    <w:rsid w:val="47A0687C"/>
    <w:rsid w:val="4B9009B5"/>
    <w:rsid w:val="545E3CB1"/>
    <w:rsid w:val="54D23DEC"/>
    <w:rsid w:val="593B28A8"/>
    <w:rsid w:val="5E03770C"/>
    <w:rsid w:val="615E0619"/>
    <w:rsid w:val="66134265"/>
    <w:rsid w:val="66A658E8"/>
    <w:rsid w:val="68C74541"/>
    <w:rsid w:val="6AE34B4E"/>
    <w:rsid w:val="6C134FBF"/>
    <w:rsid w:val="6DCF760B"/>
    <w:rsid w:val="713C6D66"/>
    <w:rsid w:val="71E35433"/>
    <w:rsid w:val="753D4E5A"/>
    <w:rsid w:val="762A0868"/>
    <w:rsid w:val="784F5615"/>
    <w:rsid w:val="78827754"/>
    <w:rsid w:val="7C460A98"/>
    <w:rsid w:val="7D0828AB"/>
    <w:rsid w:val="7F826DB5"/>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jc w:val="left"/>
    </w:pPr>
    <w:rPr>
      <w:rFonts w:ascii="Times New Roman" w:hAnsi="Times New Roman"/>
      <w:szCs w:val="20"/>
      <w:lang w:eastAsia="zh-TW"/>
    </w:rPr>
  </w:style>
  <w:style w:type="paragraph" w:styleId="3">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4">
    <w:name w:val="annotation text"/>
    <w:basedOn w:val="1"/>
    <w:qFormat/>
    <w:uiPriority w:val="0"/>
    <w:pPr>
      <w:jc w:val="left"/>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1099</Characters>
  <Lines>0</Lines>
  <Paragraphs>0</Paragraphs>
  <TotalTime>0</TotalTime>
  <ScaleCrop>false</ScaleCrop>
  <LinksUpToDate>false</LinksUpToDate>
  <CharactersWithSpaces>1100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2026-06-02T02:44:00Z</dcterms:created>
  <dc:creator>刘朝ran</dc:creator>
  <cp:lastModifiedBy>吕静</cp:lastModifiedBy>
  <dcterms:modified xsi:type="dcterms:W3CDTF">2026-08-21T01:48:07Z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eyJoZGlkIjoiZTExMzcwNThlZmFkYjk4ZmJiNzFiZTVmZTlhZDMyMWMiLCJ1c2VySWQiOiIxNTQ2MDU0ODc3In0=</vt:lpwstr>
  </property>
  <property fmtid="{D5CDD505-2E9C-101B-9397-08002B2CF9AE}" pid="4" name="ICV">
    <vt:lpwstr>AF4C5F65C13E4E50BA951830B93E4804_12</vt:lpwstr>
  </property>
</Properties>
</file>