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2C7B00">
      <w:pPr>
        <w:spacing w:before="122" w:line="182" w:lineRule="auto"/>
        <w:ind w:left="3605"/>
        <w:outlineLvl w:val="0"/>
        <w:rPr>
          <w:rFonts w:ascii="Microsoft JhengHei" w:hAnsi="Microsoft JhengHei" w:eastAsia="Microsoft JhengHei" w:cs="Microsoft JhengHei"/>
          <w:b/>
          <w:bCs/>
          <w:spacing w:val="20"/>
          <w:sz w:val="28"/>
          <w:szCs w:val="28"/>
        </w:rPr>
      </w:pPr>
    </w:p>
    <w:p w14:paraId="59F876E5">
      <w:pPr>
        <w:spacing w:before="122" w:line="182" w:lineRule="auto"/>
        <w:ind w:left="3605"/>
        <w:outlineLvl w:val="0"/>
        <w:rPr>
          <w:rFonts w:ascii="Microsoft JhengHei" w:hAnsi="Microsoft JhengHei" w:eastAsia="Microsoft JhengHei" w:cs="Microsoft JhengHei"/>
          <w:b/>
          <w:bCs/>
          <w:spacing w:val="20"/>
          <w:sz w:val="28"/>
          <w:szCs w:val="28"/>
        </w:rPr>
      </w:pPr>
    </w:p>
    <w:p w14:paraId="7CC34A78">
      <w:pPr>
        <w:spacing w:before="122" w:line="182" w:lineRule="auto"/>
        <w:jc w:val="center"/>
        <w:outlineLvl w:val="0"/>
        <w:rPr>
          <w:rFonts w:ascii="Microsoft JhengHei" w:hAnsi="Microsoft JhengHei" w:eastAsia="Microsoft JhengHei" w:cs="Microsoft JhengHei"/>
          <w:sz w:val="28"/>
          <w:szCs w:val="28"/>
        </w:rPr>
      </w:pPr>
      <w:r>
        <w:rPr>
          <w:rFonts w:hint="eastAsia" w:ascii="宋体" w:hAnsi="宋体" w:eastAsia="宋体" w:cs="宋体"/>
          <w:b/>
          <w:bCs/>
          <w:spacing w:val="20"/>
          <w:sz w:val="30"/>
          <w:szCs w:val="30"/>
        </w:rPr>
        <w:t>(</w:t>
      </w:r>
      <w:r>
        <w:rPr>
          <w:rFonts w:hint="eastAsia" w:ascii="宋体" w:hAnsi="宋体" w:eastAsia="宋体" w:cs="宋体"/>
          <w:spacing w:val="20"/>
          <w:sz w:val="30"/>
          <w:szCs w:val="30"/>
          <w:lang w:val="en-US" w:eastAsia="zh-CN"/>
        </w:rPr>
        <w:t>开放</w:t>
      </w:r>
      <w:r>
        <w:rPr>
          <w:rFonts w:hint="eastAsia" w:ascii="宋体" w:hAnsi="宋体" w:eastAsia="宋体" w:cs="宋体"/>
          <w:spacing w:val="20"/>
          <w:sz w:val="30"/>
          <w:szCs w:val="30"/>
        </w:rPr>
        <w:t>式</w:t>
      </w:r>
      <w:r>
        <w:rPr>
          <w:rFonts w:hint="eastAsia" w:ascii="宋体" w:hAnsi="宋体" w:eastAsia="宋体" w:cs="宋体"/>
          <w:b/>
          <w:bCs/>
          <w:spacing w:val="20"/>
          <w:sz w:val="30"/>
          <w:szCs w:val="30"/>
        </w:rPr>
        <w:t>)</w:t>
      </w:r>
    </w:p>
    <w:p w14:paraId="09DF7EBC">
      <w:pPr>
        <w:spacing w:line="411" w:lineRule="auto"/>
        <w:rPr>
          <w:rFonts w:ascii="Arial"/>
          <w:sz w:val="21"/>
        </w:rPr>
      </w:pPr>
    </w:p>
    <w:p w14:paraId="201D8055">
      <w:pPr>
        <w:keepNext w:val="0"/>
        <w:keepLines w:val="0"/>
        <w:pageBreakBefore w:val="0"/>
        <w:widowControl/>
        <w:kinsoku w:val="0"/>
        <w:wordWrap/>
        <w:overflowPunct/>
        <w:topLinePunct w:val="0"/>
        <w:autoSpaceDE w:val="0"/>
        <w:autoSpaceDN w:val="0"/>
        <w:bidi w:val="0"/>
        <w:adjustRightInd w:val="0"/>
        <w:snapToGrid w:val="0"/>
        <w:spacing w:line="221" w:lineRule="auto"/>
        <w:jc w:val="center"/>
        <w:textAlignment w:val="baseline"/>
        <w:outlineLvl w:val="0"/>
        <w:rPr>
          <w:rFonts w:ascii="宋体" w:hAnsi="宋体" w:eastAsia="宋体" w:cs="宋体"/>
          <w:sz w:val="84"/>
          <w:szCs w:val="84"/>
        </w:rPr>
      </w:pPr>
      <w:r>
        <w:rPr>
          <w:rFonts w:ascii="宋体" w:hAnsi="宋体" w:eastAsia="宋体" w:cs="宋体"/>
          <w:spacing w:val="17"/>
          <w:sz w:val="84"/>
          <w:szCs w:val="84"/>
        </w:rPr>
        <w:t>框架协议</w:t>
      </w:r>
    </w:p>
    <w:p w14:paraId="12373495">
      <w:pPr>
        <w:keepNext w:val="0"/>
        <w:keepLines w:val="0"/>
        <w:pageBreakBefore w:val="0"/>
        <w:widowControl/>
        <w:kinsoku w:val="0"/>
        <w:wordWrap/>
        <w:overflowPunct/>
        <w:topLinePunct w:val="0"/>
        <w:autoSpaceDE w:val="0"/>
        <w:autoSpaceDN w:val="0"/>
        <w:bidi w:val="0"/>
        <w:adjustRightInd w:val="0"/>
        <w:snapToGrid w:val="0"/>
        <w:spacing w:line="221" w:lineRule="auto"/>
        <w:jc w:val="center"/>
        <w:textAlignment w:val="baseline"/>
        <w:outlineLvl w:val="0"/>
        <w:rPr>
          <w:rFonts w:ascii="宋体" w:hAnsi="宋体" w:eastAsia="宋体" w:cs="宋体"/>
          <w:sz w:val="57"/>
          <w:szCs w:val="57"/>
        </w:rPr>
      </w:pPr>
      <w:r>
        <w:rPr>
          <w:rFonts w:ascii="宋体" w:hAnsi="宋体" w:eastAsia="宋体" w:cs="宋体"/>
          <w:spacing w:val="15"/>
          <w:sz w:val="84"/>
          <w:szCs w:val="84"/>
        </w:rPr>
        <w:t>征集文件</w:t>
      </w:r>
    </w:p>
    <w:p w14:paraId="0C549AF8">
      <w:pPr>
        <w:spacing w:line="312" w:lineRule="auto"/>
        <w:rPr>
          <w:rFonts w:ascii="Arial"/>
          <w:sz w:val="21"/>
        </w:rPr>
      </w:pPr>
    </w:p>
    <w:p w14:paraId="3236489F">
      <w:pPr>
        <w:spacing w:line="312" w:lineRule="auto"/>
        <w:rPr>
          <w:rFonts w:ascii="Arial"/>
          <w:sz w:val="21"/>
        </w:rPr>
      </w:pPr>
    </w:p>
    <w:p w14:paraId="3C0A2ECB">
      <w:pPr>
        <w:spacing w:line="312" w:lineRule="auto"/>
        <w:rPr>
          <w:rFonts w:ascii="Arial"/>
          <w:sz w:val="21"/>
        </w:rPr>
      </w:pPr>
    </w:p>
    <w:p w14:paraId="05B9641E">
      <w:pPr>
        <w:spacing w:before="104" w:line="397" w:lineRule="auto"/>
        <w:ind w:left="2338" w:right="1330" w:hanging="1026"/>
        <w:rPr>
          <w:rFonts w:ascii="宋体" w:hAnsi="宋体" w:eastAsia="宋体" w:cs="宋体"/>
          <w:spacing w:val="11"/>
          <w:sz w:val="24"/>
          <w:szCs w:val="24"/>
        </w:rPr>
      </w:pPr>
    </w:p>
    <w:p w14:paraId="36E33AFE">
      <w:pPr>
        <w:spacing w:before="104" w:line="397" w:lineRule="auto"/>
        <w:ind w:right="1330"/>
        <w:jc w:val="both"/>
        <w:rPr>
          <w:rFonts w:hint="eastAsia" w:ascii="宋体" w:hAnsi="宋体" w:eastAsia="宋体" w:cs="宋体"/>
          <w:spacing w:val="11"/>
          <w:sz w:val="28"/>
          <w:szCs w:val="28"/>
        </w:rPr>
      </w:pPr>
    </w:p>
    <w:p w14:paraId="64A0B3CB">
      <w:pPr>
        <w:keepNext w:val="0"/>
        <w:keepLines w:val="0"/>
        <w:pageBreakBefore w:val="0"/>
        <w:widowControl/>
        <w:kinsoku w:val="0"/>
        <w:wordWrap/>
        <w:overflowPunct/>
        <w:topLinePunct w:val="0"/>
        <w:autoSpaceDE w:val="0"/>
        <w:autoSpaceDN w:val="0"/>
        <w:bidi w:val="0"/>
        <w:adjustRightInd w:val="0"/>
        <w:snapToGrid w:val="0"/>
        <w:spacing w:line="396" w:lineRule="auto"/>
        <w:ind w:right="0"/>
        <w:jc w:val="center"/>
        <w:textAlignment w:val="baseline"/>
        <w:rPr>
          <w:rFonts w:hint="eastAsia" w:ascii="宋体" w:hAnsi="宋体" w:eastAsia="宋体" w:cs="宋体"/>
          <w:spacing w:val="11"/>
          <w:sz w:val="28"/>
          <w:szCs w:val="28"/>
        </w:rPr>
      </w:pPr>
    </w:p>
    <w:p w14:paraId="6A81259E">
      <w:pPr>
        <w:keepNext w:val="0"/>
        <w:keepLines w:val="0"/>
        <w:pageBreakBefore w:val="0"/>
        <w:widowControl/>
        <w:kinsoku w:val="0"/>
        <w:wordWrap/>
        <w:overflowPunct/>
        <w:topLinePunct w:val="0"/>
        <w:autoSpaceDE w:val="0"/>
        <w:autoSpaceDN w:val="0"/>
        <w:bidi w:val="0"/>
        <w:adjustRightInd w:val="0"/>
        <w:snapToGrid w:val="0"/>
        <w:spacing w:line="396" w:lineRule="auto"/>
        <w:ind w:left="1510" w:right="0" w:hanging="1500" w:hangingChars="500"/>
        <w:jc w:val="left"/>
        <w:textAlignment w:val="baseline"/>
        <w:rPr>
          <w:rFonts w:hint="eastAsia" w:ascii="宋体" w:hAnsi="宋体" w:eastAsia="宋体" w:cs="宋体"/>
          <w:kern w:val="0"/>
          <w:sz w:val="30"/>
          <w:szCs w:val="30"/>
          <w:lang w:eastAsia="zh-CN"/>
        </w:rPr>
      </w:pPr>
      <w:r>
        <w:rPr>
          <w:rFonts w:hint="eastAsia" w:ascii="宋体" w:hAnsi="宋体" w:cs="宋体"/>
          <w:kern w:val="0"/>
          <w:sz w:val="30"/>
          <w:szCs w:val="30"/>
        </w:rPr>
        <w:t>项目名称： 202</w:t>
      </w:r>
      <w:r>
        <w:rPr>
          <w:rFonts w:hint="eastAsia" w:ascii="宋体" w:hAnsi="宋体" w:eastAsia="宋体" w:cs="宋体"/>
          <w:kern w:val="0"/>
          <w:sz w:val="30"/>
          <w:szCs w:val="30"/>
          <w:lang w:val="en-US" w:eastAsia="zh-CN"/>
        </w:rPr>
        <w:t>6</w:t>
      </w:r>
      <w:r>
        <w:rPr>
          <w:rFonts w:hint="eastAsia" w:ascii="宋体" w:hAnsi="宋体" w:cs="宋体"/>
          <w:kern w:val="0"/>
          <w:sz w:val="30"/>
          <w:szCs w:val="30"/>
          <w:lang w:val="en-US" w:eastAsia="zh-CN"/>
        </w:rPr>
        <w:t>-2027</w:t>
      </w:r>
      <w:r>
        <w:rPr>
          <w:rFonts w:hint="eastAsia" w:ascii="宋体" w:hAnsi="宋体" w:cs="宋体"/>
          <w:kern w:val="0"/>
          <w:sz w:val="30"/>
          <w:szCs w:val="30"/>
        </w:rPr>
        <w:t>年度党政机关会议定点</w:t>
      </w:r>
      <w:r>
        <w:rPr>
          <w:rFonts w:hint="eastAsia" w:ascii="宋体" w:hAnsi="宋体" w:cs="宋体"/>
          <w:kern w:val="0"/>
          <w:sz w:val="30"/>
          <w:szCs w:val="30"/>
          <w:lang w:val="en-US" w:eastAsia="zh-CN"/>
        </w:rPr>
        <w:t>场所</w:t>
      </w:r>
      <w:r>
        <w:rPr>
          <w:rFonts w:hint="eastAsia" w:ascii="宋体" w:hAnsi="宋体" w:cs="宋体"/>
          <w:kern w:val="0"/>
          <w:sz w:val="30"/>
          <w:szCs w:val="30"/>
        </w:rPr>
        <w:t>框架协议采购项目</w:t>
      </w:r>
      <w:r>
        <w:rPr>
          <w:rFonts w:hint="eastAsia" w:ascii="宋体" w:hAnsi="宋体" w:eastAsia="宋体" w:cs="宋体"/>
          <w:kern w:val="0"/>
          <w:sz w:val="30"/>
          <w:szCs w:val="30"/>
          <w:lang w:eastAsia="zh-CN"/>
        </w:rPr>
        <w:t>（</w:t>
      </w:r>
      <w:r>
        <w:rPr>
          <w:rFonts w:hint="eastAsia" w:ascii="宋体" w:hAnsi="宋体" w:eastAsia="宋体" w:cs="宋体"/>
          <w:kern w:val="0"/>
          <w:sz w:val="30"/>
          <w:szCs w:val="30"/>
          <w:lang w:val="en-US" w:eastAsia="zh-CN"/>
        </w:rPr>
        <w:t>第二批</w:t>
      </w:r>
      <w:r>
        <w:rPr>
          <w:rFonts w:hint="eastAsia" w:ascii="宋体" w:hAnsi="宋体" w:eastAsia="宋体" w:cs="宋体"/>
          <w:kern w:val="0"/>
          <w:sz w:val="30"/>
          <w:szCs w:val="30"/>
          <w:lang w:eastAsia="zh-CN"/>
        </w:rPr>
        <w:t>）</w:t>
      </w:r>
    </w:p>
    <w:p w14:paraId="62C95A0E">
      <w:pPr>
        <w:keepNext w:val="0"/>
        <w:keepLines w:val="0"/>
        <w:pageBreakBefore w:val="0"/>
        <w:widowControl/>
        <w:kinsoku w:val="0"/>
        <w:wordWrap/>
        <w:overflowPunct/>
        <w:topLinePunct w:val="0"/>
        <w:autoSpaceDE w:val="0"/>
        <w:autoSpaceDN w:val="0"/>
        <w:bidi w:val="0"/>
        <w:adjustRightInd w:val="0"/>
        <w:snapToGrid w:val="0"/>
        <w:spacing w:line="396" w:lineRule="auto"/>
        <w:ind w:left="1510" w:right="0" w:hanging="1500" w:hangingChars="500"/>
        <w:jc w:val="left"/>
        <w:textAlignment w:val="baseline"/>
        <w:rPr>
          <w:rFonts w:hint="default" w:ascii="宋体" w:hAnsi="宋体" w:eastAsia="宋体" w:cs="宋体"/>
          <w:kern w:val="0"/>
          <w:sz w:val="30"/>
          <w:szCs w:val="30"/>
          <w:lang w:val="en-US" w:eastAsia="zh-CN"/>
        </w:rPr>
      </w:pPr>
      <w:r>
        <w:rPr>
          <w:rFonts w:hint="eastAsia" w:ascii="宋体" w:hAnsi="宋体" w:cs="宋体"/>
          <w:kern w:val="0"/>
          <w:sz w:val="30"/>
          <w:szCs w:val="30"/>
        </w:rPr>
        <w:t>项目编号</w:t>
      </w:r>
      <w:r>
        <w:rPr>
          <w:rFonts w:hint="eastAsia" w:ascii="宋体" w:hAnsi="宋体" w:cs="宋体"/>
          <w:kern w:val="0"/>
          <w:sz w:val="30"/>
          <w:szCs w:val="30"/>
          <w:lang w:eastAsia="zh-CN"/>
        </w:rPr>
        <w:t>：</w:t>
      </w:r>
      <w:r>
        <w:rPr>
          <w:rFonts w:hint="eastAsia" w:ascii="宋体" w:hAnsi="宋体" w:eastAsia="Arial" w:cs="宋体"/>
          <w:i w:val="0"/>
          <w:iCs w:val="0"/>
          <w:caps w:val="0"/>
          <w:spacing w:val="0"/>
          <w:sz w:val="30"/>
          <w:szCs w:val="30"/>
          <w:shd w:val="clear"/>
          <w:lang w:eastAsia="zh-CN"/>
        </w:rPr>
        <w:t>SZKC2026000002</w:t>
      </w:r>
    </w:p>
    <w:p w14:paraId="138EA582">
      <w:pPr>
        <w:keepNext w:val="0"/>
        <w:keepLines w:val="0"/>
        <w:pageBreakBefore w:val="0"/>
        <w:widowControl/>
        <w:kinsoku w:val="0"/>
        <w:wordWrap/>
        <w:overflowPunct/>
        <w:topLinePunct w:val="0"/>
        <w:autoSpaceDE w:val="0"/>
        <w:autoSpaceDN w:val="0"/>
        <w:bidi w:val="0"/>
        <w:adjustRightInd w:val="0"/>
        <w:snapToGrid w:val="0"/>
        <w:spacing w:line="396" w:lineRule="auto"/>
        <w:ind w:left="1510" w:right="0" w:hanging="1500" w:hangingChars="500"/>
        <w:jc w:val="left"/>
        <w:textAlignment w:val="baseline"/>
        <w:rPr>
          <w:rFonts w:hint="default" w:ascii="宋体" w:hAnsi="宋体" w:cs="宋体"/>
          <w:kern w:val="0"/>
          <w:sz w:val="30"/>
          <w:szCs w:val="30"/>
          <w:lang w:val="en-US" w:eastAsia="zh-CN"/>
        </w:rPr>
      </w:pPr>
      <w:r>
        <w:rPr>
          <w:rFonts w:hint="eastAsia" w:ascii="宋体" w:hAnsi="宋体" w:cs="宋体"/>
          <w:kern w:val="0"/>
          <w:sz w:val="30"/>
          <w:szCs w:val="30"/>
          <w:lang w:val="en-US" w:eastAsia="zh-CN"/>
        </w:rPr>
        <w:t>采购包号：A包</w:t>
      </w:r>
    </w:p>
    <w:p w14:paraId="0FFA29CC">
      <w:pPr>
        <w:pStyle w:val="3"/>
        <w:rPr>
          <w:rFonts w:hint="default"/>
          <w:lang w:val="en-US" w:eastAsia="zh-CN"/>
        </w:rPr>
      </w:pPr>
    </w:p>
    <w:p w14:paraId="23155561">
      <w:pPr>
        <w:spacing w:line="290" w:lineRule="auto"/>
        <w:rPr>
          <w:rFonts w:ascii="Arial"/>
          <w:sz w:val="21"/>
        </w:rPr>
      </w:pPr>
    </w:p>
    <w:p w14:paraId="6D5040D8">
      <w:pPr>
        <w:spacing w:line="291" w:lineRule="auto"/>
        <w:rPr>
          <w:rFonts w:ascii="Arial"/>
          <w:sz w:val="21"/>
        </w:rPr>
      </w:pPr>
    </w:p>
    <w:p w14:paraId="15F4E14F">
      <w:pPr>
        <w:spacing w:line="291" w:lineRule="auto"/>
        <w:rPr>
          <w:rFonts w:ascii="Arial"/>
          <w:sz w:val="21"/>
        </w:rPr>
      </w:pPr>
    </w:p>
    <w:p w14:paraId="476A9603">
      <w:pPr>
        <w:spacing w:before="78" w:line="219" w:lineRule="auto"/>
        <w:ind w:left="2404"/>
        <w:rPr>
          <w:rFonts w:ascii="宋体" w:hAnsi="宋体" w:eastAsia="宋体" w:cs="宋体"/>
          <w:spacing w:val="10"/>
          <w:sz w:val="24"/>
          <w:szCs w:val="24"/>
        </w:rPr>
      </w:pPr>
    </w:p>
    <w:p w14:paraId="441CD259">
      <w:pPr>
        <w:pStyle w:val="3"/>
        <w:rPr>
          <w:rFonts w:ascii="宋体" w:hAnsi="宋体" w:eastAsia="宋体" w:cs="宋体"/>
          <w:spacing w:val="10"/>
          <w:sz w:val="24"/>
          <w:szCs w:val="24"/>
        </w:rPr>
      </w:pPr>
    </w:p>
    <w:p w14:paraId="3B80537B">
      <w:pPr>
        <w:pStyle w:val="4"/>
      </w:pPr>
    </w:p>
    <w:p w14:paraId="0926D214">
      <w:pPr>
        <w:spacing w:before="78" w:line="219" w:lineRule="auto"/>
        <w:rPr>
          <w:rFonts w:ascii="宋体" w:hAnsi="宋体" w:eastAsia="宋体" w:cs="宋体"/>
          <w:spacing w:val="10"/>
          <w:sz w:val="24"/>
          <w:szCs w:val="24"/>
        </w:rPr>
      </w:pPr>
    </w:p>
    <w:p w14:paraId="51B07455">
      <w:pPr>
        <w:spacing w:before="78" w:line="219" w:lineRule="auto"/>
        <w:ind w:left="2404"/>
        <w:rPr>
          <w:rFonts w:ascii="宋体" w:hAnsi="宋体" w:eastAsia="宋体" w:cs="宋体"/>
          <w:spacing w:val="10"/>
          <w:sz w:val="24"/>
          <w:szCs w:val="24"/>
        </w:rPr>
      </w:pPr>
    </w:p>
    <w:p w14:paraId="05858E17">
      <w:pPr>
        <w:spacing w:before="78" w:line="219" w:lineRule="auto"/>
        <w:ind w:left="2404"/>
        <w:rPr>
          <w:rFonts w:ascii="宋体" w:hAnsi="宋体" w:eastAsia="宋体" w:cs="宋体"/>
          <w:spacing w:val="10"/>
          <w:sz w:val="24"/>
          <w:szCs w:val="24"/>
        </w:rPr>
      </w:pPr>
    </w:p>
    <w:p w14:paraId="02CEE734">
      <w:pPr>
        <w:keepNext w:val="0"/>
        <w:keepLines w:val="0"/>
        <w:pageBreakBefore w:val="0"/>
        <w:widowControl/>
        <w:kinsoku w:val="0"/>
        <w:wordWrap/>
        <w:overflowPunct/>
        <w:topLinePunct w:val="0"/>
        <w:autoSpaceDE w:val="0"/>
        <w:autoSpaceDN w:val="0"/>
        <w:bidi w:val="0"/>
        <w:adjustRightInd w:val="0"/>
        <w:snapToGrid w:val="0"/>
        <w:spacing w:line="219" w:lineRule="auto"/>
        <w:jc w:val="center"/>
        <w:textAlignment w:val="baseline"/>
        <w:rPr>
          <w:rFonts w:ascii="宋体" w:hAnsi="宋体" w:eastAsia="宋体" w:cs="宋体"/>
          <w:sz w:val="28"/>
          <w:szCs w:val="28"/>
        </w:rPr>
      </w:pPr>
      <w:r>
        <w:rPr>
          <w:rFonts w:hint="eastAsia" w:ascii="宋体" w:hAnsi="宋体" w:eastAsia="宋体" w:cs="宋体"/>
          <w:b/>
          <w:bCs/>
          <w:spacing w:val="10"/>
          <w:sz w:val="28"/>
          <w:szCs w:val="28"/>
        </w:rPr>
        <w:t>征集人：深圳公共资源交易中心</w:t>
      </w:r>
    </w:p>
    <w:p w14:paraId="5AE87AF9">
      <w:pPr>
        <w:pStyle w:val="12"/>
        <w:jc w:val="center"/>
        <w:outlineLvl w:val="1"/>
        <w:rPr>
          <w:b/>
          <w:sz w:val="36"/>
        </w:rPr>
        <w:sectPr>
          <w:footerReference r:id="rId5" w:type="default"/>
          <w:pgSz w:w="11906" w:h="16838"/>
          <w:pgMar w:top="1440" w:right="1800" w:bottom="1440" w:left="1800" w:header="851" w:footer="992" w:gutter="0"/>
          <w:cols w:space="425" w:num="1"/>
          <w:docGrid w:type="lines" w:linePitch="312" w:charSpace="0"/>
        </w:sectPr>
      </w:pPr>
    </w:p>
    <w:p w14:paraId="72B35CBC">
      <w:pPr>
        <w:pStyle w:val="12"/>
        <w:jc w:val="center"/>
        <w:outlineLvl w:val="1"/>
      </w:pPr>
      <w:r>
        <w:rPr>
          <w:rFonts w:ascii="仿宋_GB2312" w:hAnsi="仿宋_GB2312" w:eastAsia="仿宋_GB2312" w:cs="仿宋_GB2312"/>
          <w:b/>
          <w:sz w:val="36"/>
        </w:rPr>
        <w:t>特别警示条款</w:t>
      </w:r>
    </w:p>
    <w:p w14:paraId="6D837225">
      <w:pPr>
        <w:pStyle w:val="12"/>
        <w:ind w:firstLine="480"/>
        <w:jc w:val="left"/>
      </w:pPr>
      <w:r>
        <w:rPr>
          <w:rFonts w:ascii="仿宋_GB2312" w:hAnsi="仿宋_GB2312" w:eastAsia="仿宋_GB2312" w:cs="仿宋_GB2312"/>
          <w:b/>
        </w:rPr>
        <w:t>参与本项目政府采购活动的供应商应认真阅读以下特别警示条款，不得存在以下所列禁止情形，一旦发现，将被处以记入供应商诚信档案、罚款、取消参与政府采购资格、吊销营业执照等处罚；构成犯罪的，依法追究刑事责任。</w:t>
      </w:r>
    </w:p>
    <w:tbl>
      <w:tblPr>
        <w:tblStyle w:val="8"/>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12"/>
        <w:gridCol w:w="7794"/>
      </w:tblGrid>
      <w:tr w14:paraId="16675BF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2"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2B5B8699">
            <w:pPr>
              <w:pStyle w:val="12"/>
              <w:jc w:val="center"/>
            </w:pPr>
            <w:r>
              <w:rPr>
                <w:rFonts w:ascii="仿宋_GB2312" w:hAnsi="仿宋_GB2312" w:eastAsia="仿宋_GB2312" w:cs="仿宋_GB2312"/>
                <w:color w:val="000000"/>
                <w:sz w:val="20"/>
              </w:rPr>
              <w:t>序号</w:t>
            </w:r>
          </w:p>
        </w:tc>
        <w:tc>
          <w:tcPr>
            <w:tcW w:w="779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62A53758">
            <w:pPr>
              <w:pStyle w:val="12"/>
              <w:jc w:val="center"/>
            </w:pPr>
            <w:r>
              <w:rPr>
                <w:rFonts w:ascii="仿宋_GB2312" w:hAnsi="仿宋_GB2312" w:eastAsia="仿宋_GB2312" w:cs="仿宋_GB2312"/>
                <w:b/>
                <w:color w:val="000000"/>
                <w:sz w:val="20"/>
              </w:rPr>
              <w:t>供应商参与投标禁止情形</w:t>
            </w:r>
          </w:p>
        </w:tc>
      </w:tr>
      <w:tr w14:paraId="1D817DA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D557F54">
            <w:pPr>
              <w:pStyle w:val="12"/>
              <w:jc w:val="center"/>
            </w:pPr>
            <w:r>
              <w:rPr>
                <w:rFonts w:ascii="仿宋_GB2312" w:hAnsi="仿宋_GB2312" w:eastAsia="仿宋_GB2312" w:cs="仿宋_GB2312"/>
                <w:color w:val="000000"/>
                <w:sz w:val="20"/>
              </w:rPr>
              <w:t>1</w:t>
            </w:r>
          </w:p>
        </w:tc>
        <w:tc>
          <w:tcPr>
            <w:tcW w:w="779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362FF3">
            <w:pPr>
              <w:pStyle w:val="12"/>
              <w:jc w:val="left"/>
            </w:pPr>
            <w:r>
              <w:rPr>
                <w:rFonts w:ascii="仿宋_GB2312" w:hAnsi="仿宋_GB2312" w:eastAsia="仿宋_GB2312" w:cs="仿宋_GB2312"/>
                <w:color w:val="000000"/>
                <w:sz w:val="20"/>
              </w:rPr>
              <w:t>与其他投标供应商的法定代表人、主要经营负责人、投标授权代表人、项目负责人、主要技术人员为</w:t>
            </w:r>
            <w:r>
              <w:rPr>
                <w:rFonts w:ascii="仿宋_GB2312" w:hAnsi="仿宋_GB2312" w:eastAsia="仿宋_GB2312" w:cs="仿宋_GB2312"/>
                <w:b/>
                <w:color w:val="000000"/>
                <w:sz w:val="20"/>
              </w:rPr>
              <w:t>同一人、属同一单位或者在同一单位缴纳社会保险</w:t>
            </w:r>
            <w:r>
              <w:rPr>
                <w:rFonts w:ascii="仿宋_GB2312" w:hAnsi="仿宋_GB2312" w:eastAsia="仿宋_GB2312" w:cs="仿宋_GB2312"/>
                <w:color w:val="000000"/>
                <w:sz w:val="20"/>
              </w:rPr>
              <w:t>。</w:t>
            </w:r>
          </w:p>
        </w:tc>
      </w:tr>
      <w:tr w14:paraId="05139D7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09B9769">
            <w:pPr>
              <w:pStyle w:val="12"/>
              <w:jc w:val="center"/>
            </w:pPr>
            <w:r>
              <w:rPr>
                <w:rFonts w:ascii="仿宋_GB2312" w:hAnsi="仿宋_GB2312" w:eastAsia="仿宋_GB2312" w:cs="仿宋_GB2312"/>
                <w:color w:val="000000"/>
                <w:sz w:val="20"/>
              </w:rPr>
              <w:t>2</w:t>
            </w:r>
          </w:p>
        </w:tc>
        <w:tc>
          <w:tcPr>
            <w:tcW w:w="779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3F584E">
            <w:pPr>
              <w:pStyle w:val="12"/>
              <w:jc w:val="left"/>
            </w:pPr>
            <w:r>
              <w:rPr>
                <w:rFonts w:ascii="仿宋_GB2312" w:hAnsi="仿宋_GB2312" w:eastAsia="仿宋_GB2312" w:cs="仿宋_GB2312"/>
                <w:color w:val="000000"/>
                <w:sz w:val="20"/>
              </w:rPr>
              <w:t>参与本项目政府采购活动时，与其他投标供应商存在单位负责人为</w:t>
            </w:r>
            <w:r>
              <w:rPr>
                <w:rFonts w:ascii="仿宋_GB2312" w:hAnsi="仿宋_GB2312" w:eastAsia="仿宋_GB2312" w:cs="仿宋_GB2312"/>
                <w:b/>
                <w:color w:val="000000"/>
                <w:sz w:val="20"/>
              </w:rPr>
              <w:t>同一人或直接控股、管理关系</w:t>
            </w:r>
            <w:r>
              <w:rPr>
                <w:rFonts w:ascii="仿宋_GB2312" w:hAnsi="仿宋_GB2312" w:eastAsia="仿宋_GB2312" w:cs="仿宋_GB2312"/>
                <w:color w:val="000000"/>
                <w:sz w:val="20"/>
              </w:rPr>
              <w:t>。</w:t>
            </w:r>
          </w:p>
        </w:tc>
      </w:tr>
      <w:tr w14:paraId="7F716FE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78580EC">
            <w:pPr>
              <w:pStyle w:val="12"/>
              <w:jc w:val="center"/>
            </w:pPr>
            <w:r>
              <w:rPr>
                <w:rFonts w:ascii="仿宋_GB2312" w:hAnsi="仿宋_GB2312" w:eastAsia="仿宋_GB2312" w:cs="仿宋_GB2312"/>
                <w:color w:val="000000"/>
                <w:sz w:val="20"/>
              </w:rPr>
              <w:t>3</w:t>
            </w:r>
          </w:p>
        </w:tc>
        <w:tc>
          <w:tcPr>
            <w:tcW w:w="779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2F6C39">
            <w:pPr>
              <w:pStyle w:val="12"/>
              <w:jc w:val="left"/>
            </w:pPr>
            <w:r>
              <w:rPr>
                <w:rFonts w:ascii="仿宋_GB2312" w:hAnsi="仿宋_GB2312" w:eastAsia="仿宋_GB2312" w:cs="仿宋_GB2312"/>
                <w:color w:val="000000"/>
                <w:sz w:val="20"/>
              </w:rPr>
              <w:t>与其他投标供应商的投标文件或部分投标文件</w:t>
            </w:r>
            <w:r>
              <w:rPr>
                <w:rFonts w:ascii="仿宋_GB2312" w:hAnsi="仿宋_GB2312" w:eastAsia="仿宋_GB2312" w:cs="仿宋_GB2312"/>
                <w:b/>
                <w:color w:val="000000"/>
                <w:sz w:val="20"/>
              </w:rPr>
              <w:t>相互混装或存在非正常一致</w:t>
            </w:r>
            <w:r>
              <w:rPr>
                <w:rFonts w:ascii="仿宋_GB2312" w:hAnsi="仿宋_GB2312" w:eastAsia="仿宋_GB2312" w:cs="仿宋_GB2312"/>
                <w:color w:val="000000"/>
                <w:sz w:val="20"/>
              </w:rPr>
              <w:t>。</w:t>
            </w:r>
          </w:p>
        </w:tc>
      </w:tr>
      <w:tr w14:paraId="1386EDB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354D400">
            <w:pPr>
              <w:pStyle w:val="12"/>
              <w:jc w:val="center"/>
            </w:pPr>
            <w:r>
              <w:rPr>
                <w:rFonts w:ascii="仿宋_GB2312" w:hAnsi="仿宋_GB2312" w:eastAsia="仿宋_GB2312" w:cs="仿宋_GB2312"/>
                <w:color w:val="000000"/>
                <w:sz w:val="20"/>
              </w:rPr>
              <w:t>4</w:t>
            </w:r>
          </w:p>
        </w:tc>
        <w:tc>
          <w:tcPr>
            <w:tcW w:w="779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6FFFC83">
            <w:pPr>
              <w:pStyle w:val="12"/>
              <w:jc w:val="left"/>
            </w:pPr>
            <w:r>
              <w:rPr>
                <w:rFonts w:ascii="仿宋_GB2312" w:hAnsi="仿宋_GB2312" w:eastAsia="仿宋_GB2312" w:cs="仿宋_GB2312"/>
                <w:color w:val="000000"/>
                <w:sz w:val="20"/>
              </w:rPr>
              <w:t>与其他投标供应商的投标文件由</w:t>
            </w:r>
            <w:r>
              <w:rPr>
                <w:rFonts w:ascii="仿宋_GB2312" w:hAnsi="仿宋_GB2312" w:eastAsia="仿宋_GB2312" w:cs="仿宋_GB2312"/>
                <w:b/>
                <w:color w:val="000000"/>
                <w:sz w:val="20"/>
              </w:rPr>
              <w:t>同一单位或者同一人编制</w:t>
            </w:r>
            <w:r>
              <w:rPr>
                <w:rFonts w:ascii="仿宋_GB2312" w:hAnsi="仿宋_GB2312" w:eastAsia="仿宋_GB2312" w:cs="仿宋_GB2312"/>
                <w:color w:val="000000"/>
                <w:sz w:val="20"/>
              </w:rPr>
              <w:t>，或者使用</w:t>
            </w:r>
            <w:r>
              <w:rPr>
                <w:rFonts w:ascii="仿宋_GB2312" w:hAnsi="仿宋_GB2312" w:eastAsia="仿宋_GB2312" w:cs="仿宋_GB2312"/>
                <w:b/>
                <w:color w:val="000000"/>
                <w:sz w:val="20"/>
              </w:rPr>
              <w:t>同一设备编制</w:t>
            </w:r>
            <w:r>
              <w:rPr>
                <w:rFonts w:ascii="仿宋_GB2312" w:hAnsi="仿宋_GB2312" w:eastAsia="仿宋_GB2312" w:cs="仿宋_GB2312"/>
                <w:color w:val="000000"/>
                <w:sz w:val="20"/>
              </w:rPr>
              <w:t>（“文件制作机器码”“文件创建标识码”一致）。</w:t>
            </w:r>
          </w:p>
        </w:tc>
      </w:tr>
      <w:tr w14:paraId="7E1AF81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4DEE1D8">
            <w:pPr>
              <w:pStyle w:val="12"/>
              <w:jc w:val="center"/>
            </w:pPr>
            <w:r>
              <w:rPr>
                <w:rFonts w:ascii="仿宋_GB2312" w:hAnsi="仿宋_GB2312" w:eastAsia="仿宋_GB2312" w:cs="仿宋_GB2312"/>
                <w:color w:val="000000"/>
                <w:sz w:val="20"/>
              </w:rPr>
              <w:t>5</w:t>
            </w:r>
          </w:p>
        </w:tc>
        <w:tc>
          <w:tcPr>
            <w:tcW w:w="779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69E4EE2">
            <w:pPr>
              <w:pStyle w:val="12"/>
              <w:jc w:val="left"/>
            </w:pPr>
            <w:r>
              <w:rPr>
                <w:rFonts w:ascii="仿宋_GB2312" w:hAnsi="仿宋_GB2312" w:eastAsia="仿宋_GB2312" w:cs="仿宋_GB2312"/>
                <w:color w:val="000000"/>
                <w:sz w:val="20"/>
              </w:rPr>
              <w:t>提供</w:t>
            </w:r>
            <w:r>
              <w:rPr>
                <w:rFonts w:ascii="仿宋_GB2312" w:hAnsi="仿宋_GB2312" w:eastAsia="仿宋_GB2312" w:cs="仿宋_GB2312"/>
                <w:b/>
                <w:color w:val="000000"/>
                <w:sz w:val="20"/>
              </w:rPr>
              <w:t>未经出具机构核实</w:t>
            </w:r>
            <w:r>
              <w:rPr>
                <w:rFonts w:ascii="仿宋_GB2312" w:hAnsi="仿宋_GB2312" w:eastAsia="仿宋_GB2312" w:cs="仿宋_GB2312"/>
                <w:color w:val="000000"/>
                <w:sz w:val="20"/>
              </w:rPr>
              <w:t>的虚假的检验检测报告、业绩材料、社保缴纳证明、学历学位证书、职称认证证书等材料。</w:t>
            </w:r>
          </w:p>
        </w:tc>
      </w:tr>
      <w:tr w14:paraId="2EA9B07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8E831D0">
            <w:pPr>
              <w:pStyle w:val="12"/>
              <w:jc w:val="center"/>
            </w:pPr>
            <w:r>
              <w:rPr>
                <w:rFonts w:ascii="仿宋_GB2312" w:hAnsi="仿宋_GB2312" w:eastAsia="仿宋_GB2312" w:cs="仿宋_GB2312"/>
                <w:color w:val="000000"/>
                <w:sz w:val="20"/>
              </w:rPr>
              <w:t>6</w:t>
            </w:r>
          </w:p>
        </w:tc>
        <w:tc>
          <w:tcPr>
            <w:tcW w:w="779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B17276D">
            <w:pPr>
              <w:pStyle w:val="12"/>
              <w:jc w:val="left"/>
            </w:pPr>
            <w:r>
              <w:rPr>
                <w:rFonts w:ascii="仿宋_GB2312" w:hAnsi="仿宋_GB2312" w:eastAsia="仿宋_GB2312" w:cs="仿宋_GB2312"/>
                <w:color w:val="000000"/>
                <w:sz w:val="20"/>
              </w:rPr>
              <w:t>擅自将投标密钥或电子营业执照出借他人使用或未妥善保管。</w:t>
            </w:r>
          </w:p>
        </w:tc>
      </w:tr>
    </w:tbl>
    <w:p w14:paraId="69B50967">
      <w:pPr>
        <w:pStyle w:val="12"/>
        <w:ind w:firstLine="480"/>
        <w:jc w:val="left"/>
      </w:pPr>
      <w:r>
        <w:rPr>
          <w:rFonts w:ascii="仿宋_GB2312" w:hAnsi="仿宋_GB2312" w:eastAsia="仿宋_GB2312" w:cs="仿宋_GB2312"/>
          <w:b/>
          <w:bCs/>
        </w:rPr>
        <w:t>一、《深圳经济特区政府采购条例》第五十七条</w:t>
      </w:r>
      <w:r>
        <w:rPr>
          <w:rFonts w:ascii="仿宋_GB2312" w:hAnsi="仿宋_GB2312" w:eastAsia="仿宋_GB2312" w:cs="仿宋_GB2312"/>
        </w:rPr>
        <w:t xml:space="preserve"> 供应商在政府采购中，有下列行为之一的，一至三年内禁止其参与本市政府采购，并由主管部门记入供应商诚信档案，处采购金额千分之十以上千分之二十以下的罚款；情节严重的，取消其参与本市政府采购资格，处采购金额千分之二十以上千分之三十以下的罚款，并由市场监管部门依法吊销其营业执照；给他人造成损失的，依法承担赔偿责任；构成犯罪的，依法追究刑事责任：</w:t>
      </w:r>
    </w:p>
    <w:p w14:paraId="4E5F714E">
      <w:pPr>
        <w:pStyle w:val="12"/>
        <w:ind w:firstLine="480"/>
        <w:jc w:val="left"/>
      </w:pPr>
      <w:r>
        <w:rPr>
          <w:rFonts w:ascii="仿宋_GB2312" w:hAnsi="仿宋_GB2312" w:eastAsia="仿宋_GB2312" w:cs="仿宋_GB2312"/>
        </w:rPr>
        <w:t>（一）在采购活动中应当回避而未回避的；</w:t>
      </w:r>
    </w:p>
    <w:p w14:paraId="6AD43F89">
      <w:pPr>
        <w:pStyle w:val="12"/>
        <w:ind w:firstLine="480"/>
        <w:jc w:val="left"/>
      </w:pPr>
      <w:r>
        <w:rPr>
          <w:rFonts w:ascii="仿宋_GB2312" w:hAnsi="仿宋_GB2312" w:eastAsia="仿宋_GB2312" w:cs="仿宋_GB2312"/>
        </w:rPr>
        <w:t>（二）未按本条例规定签订、履行采购合同，造成严重后果的；</w:t>
      </w:r>
    </w:p>
    <w:p w14:paraId="7030A67E">
      <w:pPr>
        <w:pStyle w:val="12"/>
        <w:ind w:firstLine="480"/>
        <w:jc w:val="left"/>
      </w:pPr>
      <w:r>
        <w:rPr>
          <w:rFonts w:ascii="仿宋_GB2312" w:hAnsi="仿宋_GB2312" w:eastAsia="仿宋_GB2312" w:cs="仿宋_GB2312"/>
        </w:rPr>
        <w:t>（三）隐瞒真实情况，提供虚假资料的；</w:t>
      </w:r>
    </w:p>
    <w:p w14:paraId="6672215E">
      <w:pPr>
        <w:pStyle w:val="12"/>
        <w:ind w:firstLine="480"/>
        <w:jc w:val="left"/>
      </w:pPr>
      <w:r>
        <w:rPr>
          <w:rFonts w:ascii="仿宋_GB2312" w:hAnsi="仿宋_GB2312" w:eastAsia="仿宋_GB2312" w:cs="仿宋_GB2312"/>
        </w:rPr>
        <w:t>（四）以非法手段排斥其他供应商参与竞争的；</w:t>
      </w:r>
    </w:p>
    <w:p w14:paraId="423C2921">
      <w:pPr>
        <w:pStyle w:val="12"/>
        <w:ind w:firstLine="480"/>
        <w:jc w:val="left"/>
      </w:pPr>
      <w:r>
        <w:rPr>
          <w:rFonts w:ascii="仿宋_GB2312" w:hAnsi="仿宋_GB2312" w:eastAsia="仿宋_GB2312" w:cs="仿宋_GB2312"/>
        </w:rPr>
        <w:t>（五）与其他采购参加人串通投标的；</w:t>
      </w:r>
    </w:p>
    <w:p w14:paraId="29CF08F7">
      <w:pPr>
        <w:pStyle w:val="12"/>
        <w:ind w:firstLine="480"/>
        <w:jc w:val="left"/>
      </w:pPr>
      <w:r>
        <w:rPr>
          <w:rFonts w:ascii="仿宋_GB2312" w:hAnsi="仿宋_GB2312" w:eastAsia="仿宋_GB2312" w:cs="仿宋_GB2312"/>
        </w:rPr>
        <w:t>（六）恶意投诉的；</w:t>
      </w:r>
    </w:p>
    <w:p w14:paraId="6AFB90FC">
      <w:pPr>
        <w:pStyle w:val="12"/>
        <w:ind w:firstLine="480"/>
        <w:jc w:val="left"/>
      </w:pPr>
      <w:r>
        <w:rPr>
          <w:rFonts w:ascii="仿宋_GB2312" w:hAnsi="仿宋_GB2312" w:eastAsia="仿宋_GB2312" w:cs="仿宋_GB2312"/>
        </w:rPr>
        <w:t>（七）向采购项目相关人行贿或者提供其他不当利益的；</w:t>
      </w:r>
    </w:p>
    <w:p w14:paraId="777FCF80">
      <w:pPr>
        <w:pStyle w:val="12"/>
        <w:ind w:firstLine="480"/>
        <w:jc w:val="left"/>
      </w:pPr>
      <w:r>
        <w:rPr>
          <w:rFonts w:ascii="仿宋_GB2312" w:hAnsi="仿宋_GB2312" w:eastAsia="仿宋_GB2312" w:cs="仿宋_GB2312"/>
        </w:rPr>
        <w:t>（八）阻碍、抗拒主管部门监督检查的；</w:t>
      </w:r>
    </w:p>
    <w:p w14:paraId="08EFF20C">
      <w:pPr>
        <w:pStyle w:val="12"/>
        <w:ind w:firstLine="480"/>
        <w:jc w:val="left"/>
      </w:pPr>
      <w:r>
        <w:rPr>
          <w:rFonts w:ascii="仿宋_GB2312" w:hAnsi="仿宋_GB2312" w:eastAsia="仿宋_GB2312" w:cs="仿宋_GB2312"/>
        </w:rPr>
        <w:t>（九）其他违反本条例规定的行为。</w:t>
      </w:r>
    </w:p>
    <w:p w14:paraId="71DB259B">
      <w:pPr>
        <w:pStyle w:val="12"/>
        <w:ind w:firstLine="480"/>
        <w:jc w:val="left"/>
      </w:pPr>
      <w:r>
        <w:rPr>
          <w:rFonts w:ascii="仿宋_GB2312" w:hAnsi="仿宋_GB2312" w:eastAsia="仿宋_GB2312" w:cs="仿宋_GB2312"/>
          <w:b/>
          <w:bCs/>
        </w:rPr>
        <w:t>二、《深圳经济特区政府采购条例实施细则》第七十五条</w:t>
      </w:r>
      <w:r>
        <w:rPr>
          <w:rFonts w:ascii="仿宋_GB2312" w:hAnsi="仿宋_GB2312" w:eastAsia="仿宋_GB2312" w:cs="仿宋_GB2312"/>
        </w:rPr>
        <w:t xml:space="preserve"> 供应商有下列情形之一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14:paraId="4CBFBF24">
      <w:pPr>
        <w:pStyle w:val="12"/>
        <w:ind w:firstLine="480"/>
        <w:jc w:val="left"/>
      </w:pPr>
      <w:r>
        <w:rPr>
          <w:rFonts w:ascii="仿宋_GB2312" w:hAnsi="仿宋_GB2312" w:eastAsia="仿宋_GB2312" w:cs="仿宋_GB2312"/>
          <w:b/>
          <w:bCs/>
        </w:rPr>
        <w:t>三、《深圳经济特区政府采购条例实施细则》第七十七条</w:t>
      </w:r>
      <w:r>
        <w:rPr>
          <w:rFonts w:ascii="仿宋_GB2312" w:hAnsi="仿宋_GB2312" w:eastAsia="仿宋_GB2312" w:cs="仿宋_GB2312"/>
        </w:rPr>
        <w:t xml:space="preserve"> 供应商有下列情形之一的，属于隐瞒真实情况，提供虚假资料，按照采购条例第五十七条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14:paraId="3B04628D">
      <w:pPr>
        <w:pStyle w:val="12"/>
        <w:ind w:firstLine="480"/>
        <w:jc w:val="left"/>
      </w:pPr>
      <w:r>
        <w:rPr>
          <w:rFonts w:ascii="仿宋_GB2312" w:hAnsi="仿宋_GB2312" w:eastAsia="仿宋_GB2312" w:cs="仿宋_GB2312"/>
        </w:rPr>
        <w:t>投标供应商不能提供项目负责人或者主要技术人员的劳动合同、社会保险等劳动关系证明材料的，视为存在前款第（三）项规定的情形。</w:t>
      </w:r>
    </w:p>
    <w:p w14:paraId="336F4902">
      <w:pPr>
        <w:pStyle w:val="12"/>
        <w:ind w:firstLine="480"/>
        <w:jc w:val="left"/>
      </w:pPr>
      <w:r>
        <w:rPr>
          <w:rFonts w:ascii="仿宋_GB2312" w:hAnsi="仿宋_GB2312" w:eastAsia="仿宋_GB2312" w:cs="仿宋_GB2312"/>
        </w:rPr>
        <w:t>四、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取消参与本市政府采购资格、依法吊销其营业执照等行政处罚，构成犯罪的，依法追究刑事责任，请各供应商独立编制、上传投标文件，妥善保管和使用电子秘钥。</w:t>
      </w:r>
    </w:p>
    <w:p w14:paraId="37A7A8B3">
      <w:pPr>
        <w:pStyle w:val="12"/>
        <w:ind w:firstLine="480"/>
        <w:jc w:val="left"/>
      </w:pPr>
      <w:r>
        <w:rPr>
          <w:rFonts w:ascii="仿宋_GB2312" w:hAnsi="仿宋_GB2312" w:eastAsia="仿宋_GB2312" w:cs="仿宋_GB2312"/>
          <w:b/>
        </w:rPr>
        <w:t>五、请</w:t>
      </w:r>
      <w:r>
        <w:rPr>
          <w:rFonts w:hint="eastAsia" w:ascii="仿宋_GB2312" w:hAnsi="仿宋_GB2312" w:eastAsia="仿宋_GB2312" w:cs="仿宋_GB2312"/>
          <w:b/>
          <w:lang w:val="en-US" w:eastAsia="zh-CN"/>
        </w:rPr>
        <w:t>申请</w:t>
      </w:r>
      <w:r>
        <w:rPr>
          <w:rFonts w:ascii="仿宋_GB2312" w:hAnsi="仿宋_GB2312" w:eastAsia="仿宋_GB2312" w:cs="仿宋_GB2312"/>
          <w:b/>
        </w:rPr>
        <w:t>供应商阅读《政府采购违法行为风险知悉确认书》（内容详见“</w:t>
      </w:r>
      <w:r>
        <w:rPr>
          <w:rFonts w:hint="eastAsia" w:ascii="仿宋_GB2312" w:hAnsi="仿宋_GB2312" w:eastAsia="仿宋_GB2312" w:cs="仿宋_GB2312"/>
          <w:b/>
          <w:lang w:val="en-US" w:eastAsia="zh-CN"/>
        </w:rPr>
        <w:t>申请</w:t>
      </w:r>
      <w:r>
        <w:rPr>
          <w:rFonts w:ascii="仿宋_GB2312" w:hAnsi="仿宋_GB2312" w:eastAsia="仿宋_GB2312" w:cs="仿宋_GB2312"/>
          <w:b/>
        </w:rPr>
        <w:t>文件</w:t>
      </w:r>
      <w:r>
        <w:rPr>
          <w:rFonts w:hint="eastAsia" w:ascii="仿宋_GB2312" w:hAnsi="仿宋_GB2312" w:eastAsia="仿宋_GB2312" w:cs="仿宋_GB2312"/>
          <w:b/>
          <w:lang w:val="en-US" w:eastAsia="zh-CN"/>
        </w:rPr>
        <w:t>格式</w:t>
      </w:r>
      <w:r>
        <w:rPr>
          <w:rFonts w:ascii="仿宋_GB2312" w:hAnsi="仿宋_GB2312" w:eastAsia="仿宋_GB2312" w:cs="仿宋_GB2312"/>
          <w:b/>
        </w:rPr>
        <w:t>”中节点“供应商认为需要加以说明的其他内容”），并经各</w:t>
      </w:r>
      <w:r>
        <w:rPr>
          <w:rFonts w:hint="eastAsia" w:ascii="仿宋_GB2312" w:hAnsi="仿宋_GB2312" w:eastAsia="仿宋_GB2312" w:cs="仿宋_GB2312"/>
          <w:b/>
          <w:lang w:val="en-US" w:eastAsia="zh-CN"/>
        </w:rPr>
        <w:t>申请</w:t>
      </w:r>
      <w:r>
        <w:rPr>
          <w:rFonts w:ascii="仿宋_GB2312" w:hAnsi="仿宋_GB2312" w:eastAsia="仿宋_GB2312" w:cs="仿宋_GB2312"/>
          <w:b/>
        </w:rPr>
        <w:t>供应商负责人签字并加盖单位公章后，扫描上传至</w:t>
      </w:r>
      <w:r>
        <w:rPr>
          <w:rFonts w:hint="eastAsia" w:ascii="仿宋_GB2312" w:hAnsi="仿宋_GB2312" w:eastAsia="仿宋_GB2312" w:cs="仿宋_GB2312"/>
          <w:b/>
          <w:lang w:val="en-US" w:eastAsia="zh-CN"/>
        </w:rPr>
        <w:t>申请</w:t>
      </w:r>
      <w:r>
        <w:rPr>
          <w:rFonts w:ascii="仿宋_GB2312" w:hAnsi="仿宋_GB2312" w:eastAsia="仿宋_GB2312" w:cs="仿宋_GB2312"/>
          <w:b/>
        </w:rPr>
        <w:t>文件一并提交。</w:t>
      </w:r>
    </w:p>
    <w:p w14:paraId="1E4EA615">
      <w:pPr>
        <w:pStyle w:val="12"/>
        <w:ind w:firstLine="480"/>
        <w:jc w:val="left"/>
        <w:rPr>
          <w:rFonts w:ascii="仿宋_GB2312" w:hAnsi="仿宋_GB2312" w:eastAsia="仿宋_GB2312" w:cs="仿宋_GB2312"/>
          <w:b/>
        </w:rPr>
      </w:pPr>
    </w:p>
    <w:p w14:paraId="11EE7ED2">
      <w:pPr>
        <w:pStyle w:val="12"/>
        <w:ind w:firstLine="480"/>
        <w:jc w:val="left"/>
      </w:pPr>
      <w:r>
        <w:rPr>
          <w:rFonts w:ascii="仿宋_GB2312" w:hAnsi="仿宋_GB2312" w:eastAsia="仿宋_GB2312" w:cs="仿宋_GB2312"/>
          <w:b/>
        </w:rPr>
        <w:t>注：“特别警示条款”和《政府采购违法行为风险知悉确认书》用于对供应商违法行为的提醒，不作为供应商资格性审查及符合性审查条件。</w:t>
      </w:r>
    </w:p>
    <w:p w14:paraId="026BEB7B">
      <w:pPr>
        <w:pStyle w:val="12"/>
        <w:jc w:val="center"/>
        <w:outlineLvl w:val="1"/>
        <w:rPr>
          <w:b/>
          <w:sz w:val="36"/>
        </w:rPr>
        <w:sectPr>
          <w:footerReference r:id="rId6" w:type="default"/>
          <w:pgSz w:w="11906" w:h="16838"/>
          <w:pgMar w:top="1440" w:right="1800" w:bottom="1440" w:left="1800" w:header="851" w:footer="992" w:gutter="0"/>
          <w:cols w:space="425" w:num="1"/>
          <w:docGrid w:type="lines" w:linePitch="312" w:charSpace="0"/>
        </w:sectPr>
      </w:pPr>
    </w:p>
    <w:p w14:paraId="5D7CD49B">
      <w:pPr>
        <w:pStyle w:val="12"/>
        <w:jc w:val="center"/>
        <w:outlineLvl w:val="1"/>
      </w:pPr>
      <w:r>
        <w:rPr>
          <w:b/>
          <w:sz w:val="36"/>
        </w:rPr>
        <w:t>目录</w:t>
      </w:r>
    </w:p>
    <w:p w14:paraId="50A71AA7">
      <w:pPr>
        <w:pStyle w:val="12"/>
        <w:jc w:val="left"/>
        <w:outlineLvl w:val="2"/>
      </w:pPr>
      <w:r>
        <w:rPr>
          <w:b/>
          <w:sz w:val="28"/>
        </w:rPr>
        <w:t>第一章 参加征集活动的邀请</w:t>
      </w:r>
    </w:p>
    <w:p w14:paraId="6EEC945E">
      <w:pPr>
        <w:pStyle w:val="12"/>
        <w:ind w:firstLine="480"/>
        <w:jc w:val="both"/>
      </w:pPr>
      <w:r>
        <w:t>一、 项目基本情况</w:t>
      </w:r>
    </w:p>
    <w:p w14:paraId="0390DFD5">
      <w:pPr>
        <w:pStyle w:val="12"/>
        <w:ind w:firstLine="480"/>
        <w:jc w:val="both"/>
      </w:pPr>
      <w:r>
        <w:t>二、 供应商资格要求</w:t>
      </w:r>
    </w:p>
    <w:p w14:paraId="0F4183EE">
      <w:pPr>
        <w:pStyle w:val="12"/>
        <w:ind w:firstLine="480"/>
        <w:jc w:val="both"/>
      </w:pPr>
      <w:r>
        <w:t>三、 征集文件获取时间、方式及地址</w:t>
      </w:r>
    </w:p>
    <w:p w14:paraId="7515ECCD">
      <w:pPr>
        <w:pStyle w:val="12"/>
        <w:ind w:firstLine="480"/>
        <w:jc w:val="both"/>
      </w:pPr>
      <w:r>
        <w:t xml:space="preserve">四、 </w:t>
      </w:r>
      <w:r>
        <w:rPr>
          <w:rFonts w:hint="eastAsia"/>
          <w:b w:val="0"/>
          <w:sz w:val="20"/>
          <w:lang w:val="en-US" w:eastAsia="zh-CN"/>
        </w:rPr>
        <w:t>供应商提交加入框架协议申请的方式、地点以及对申请文件的要求</w:t>
      </w:r>
    </w:p>
    <w:p w14:paraId="39D24505">
      <w:pPr>
        <w:pStyle w:val="12"/>
        <w:ind w:firstLine="480"/>
        <w:jc w:val="both"/>
      </w:pPr>
      <w:r>
        <w:t>五、 联系方式</w:t>
      </w:r>
    </w:p>
    <w:p w14:paraId="025AC9BA">
      <w:pPr>
        <w:pStyle w:val="12"/>
        <w:jc w:val="left"/>
        <w:outlineLvl w:val="2"/>
      </w:pPr>
      <w:r>
        <w:rPr>
          <w:b/>
          <w:sz w:val="28"/>
        </w:rPr>
        <w:t>第二章 征集项目主要内容</w:t>
      </w:r>
    </w:p>
    <w:p w14:paraId="6C8F4573">
      <w:pPr>
        <w:pStyle w:val="12"/>
        <w:ind w:firstLine="480"/>
        <w:jc w:val="both"/>
      </w:pPr>
      <w:r>
        <w:t>一、 供应商须知前附表</w:t>
      </w:r>
    </w:p>
    <w:p w14:paraId="37EA2589">
      <w:pPr>
        <w:pStyle w:val="12"/>
        <w:ind w:firstLine="480"/>
        <w:jc w:val="both"/>
      </w:pPr>
      <w:r>
        <w:t>二、 确定入围供应商</w:t>
      </w:r>
    </w:p>
    <w:p w14:paraId="36411D9C">
      <w:pPr>
        <w:pStyle w:val="12"/>
        <w:ind w:firstLine="480"/>
        <w:jc w:val="both"/>
      </w:pPr>
      <w:r>
        <w:t>三、 用户反馈和评价机制</w:t>
      </w:r>
    </w:p>
    <w:p w14:paraId="01E930E0">
      <w:pPr>
        <w:pStyle w:val="12"/>
        <w:ind w:firstLine="480"/>
        <w:jc w:val="both"/>
        <w:rPr>
          <w:rFonts w:hint="default" w:eastAsiaTheme="minorEastAsia"/>
          <w:lang w:val="en-US" w:eastAsia="zh-CN"/>
        </w:rPr>
      </w:pPr>
      <w:r>
        <w:t>四、 入围供应商的清退规则</w:t>
      </w:r>
      <w:r>
        <w:rPr>
          <w:rFonts w:hint="eastAsia"/>
          <w:lang w:val="en-US" w:eastAsia="zh-CN"/>
        </w:rPr>
        <w:t>和补充规则</w:t>
      </w:r>
    </w:p>
    <w:p w14:paraId="46EF98E2">
      <w:pPr>
        <w:pStyle w:val="12"/>
        <w:ind w:firstLine="480"/>
        <w:jc w:val="both"/>
        <w:rPr>
          <w:rFonts w:hint="default" w:eastAsiaTheme="minorEastAsia"/>
          <w:lang w:val="en-US" w:eastAsia="zh-CN"/>
        </w:rPr>
      </w:pPr>
      <w:r>
        <w:t xml:space="preserve">五、 </w:t>
      </w:r>
      <w:r>
        <w:rPr>
          <w:rFonts w:hint="eastAsia"/>
          <w:lang w:val="en-US" w:eastAsia="zh-CN"/>
        </w:rPr>
        <w:t>供应商信用信息</w:t>
      </w:r>
    </w:p>
    <w:p w14:paraId="5C24BA6E">
      <w:pPr>
        <w:pStyle w:val="12"/>
        <w:ind w:firstLine="480"/>
        <w:jc w:val="both"/>
        <w:rPr>
          <w:rFonts w:hint="default" w:eastAsiaTheme="minorEastAsia"/>
          <w:lang w:val="en-US" w:eastAsia="zh-CN"/>
        </w:rPr>
      </w:pPr>
      <w:r>
        <w:t>六、</w:t>
      </w:r>
      <w:r>
        <w:rPr>
          <w:rFonts w:hint="eastAsia"/>
          <w:lang w:val="en-US" w:eastAsia="zh-CN"/>
        </w:rPr>
        <w:t xml:space="preserve"> 协议方的权利和义务</w:t>
      </w:r>
    </w:p>
    <w:p w14:paraId="7FC3A6DA">
      <w:pPr>
        <w:pStyle w:val="12"/>
        <w:ind w:firstLine="480"/>
        <w:jc w:val="both"/>
      </w:pPr>
      <w:r>
        <w:rPr>
          <w:rFonts w:hint="eastAsia"/>
          <w:lang w:val="en-US" w:eastAsia="zh-CN"/>
        </w:rPr>
        <w:t>七</w:t>
      </w:r>
      <w:r>
        <w:t>、</w:t>
      </w:r>
      <w:r>
        <w:rPr>
          <w:rFonts w:hint="eastAsia"/>
          <w:lang w:val="en-US" w:eastAsia="zh-CN"/>
        </w:rPr>
        <w:t xml:space="preserve"> </w:t>
      </w:r>
      <w:r>
        <w:t>其他事项</w:t>
      </w:r>
    </w:p>
    <w:p w14:paraId="1BB655FF">
      <w:pPr>
        <w:pStyle w:val="12"/>
        <w:jc w:val="left"/>
        <w:outlineLvl w:val="2"/>
      </w:pPr>
      <w:r>
        <w:rPr>
          <w:b/>
          <w:sz w:val="28"/>
        </w:rPr>
        <w:t>第三章 采购需求</w:t>
      </w:r>
    </w:p>
    <w:p w14:paraId="2787E506">
      <w:pPr>
        <w:pStyle w:val="12"/>
        <w:ind w:firstLine="480"/>
        <w:jc w:val="both"/>
        <w:rPr>
          <w:rFonts w:hint="default" w:eastAsiaTheme="minorEastAsia"/>
          <w:lang w:val="en-US" w:eastAsia="zh-CN"/>
        </w:rPr>
      </w:pPr>
      <w:r>
        <w:t xml:space="preserve">一、 </w:t>
      </w:r>
      <w:r>
        <w:rPr>
          <w:rFonts w:hint="eastAsia"/>
          <w:lang w:val="en-US" w:eastAsia="zh-CN"/>
        </w:rPr>
        <w:t>会议类别</w:t>
      </w:r>
    </w:p>
    <w:p w14:paraId="565978BE">
      <w:pPr>
        <w:pStyle w:val="12"/>
        <w:ind w:firstLine="480"/>
        <w:jc w:val="both"/>
        <w:rPr>
          <w:rFonts w:hint="default"/>
          <w:lang w:val="en-US"/>
        </w:rPr>
      </w:pPr>
      <w:r>
        <w:t xml:space="preserve">二、 </w:t>
      </w:r>
      <w:r>
        <w:rPr>
          <w:rFonts w:hint="eastAsia"/>
          <w:lang w:val="en-US" w:eastAsia="zh-CN"/>
        </w:rPr>
        <w:t>会议室类型</w:t>
      </w:r>
    </w:p>
    <w:p w14:paraId="0E71156A">
      <w:pPr>
        <w:pStyle w:val="12"/>
        <w:jc w:val="left"/>
        <w:outlineLvl w:val="2"/>
        <w:rPr>
          <w:rFonts w:hint="default"/>
          <w:lang w:val="en-US"/>
        </w:rPr>
      </w:pPr>
      <w:r>
        <w:rPr>
          <w:b/>
          <w:sz w:val="28"/>
        </w:rPr>
        <w:t xml:space="preserve">第四章 </w:t>
      </w:r>
      <w:r>
        <w:rPr>
          <w:rFonts w:hint="eastAsia" w:ascii="宋体" w:hAnsi="宋体" w:eastAsia="宋体" w:cs="宋体"/>
          <w:b/>
          <w:sz w:val="28"/>
          <w:szCs w:val="28"/>
          <w:highlight w:val="none"/>
          <w:lang w:val="en-US" w:eastAsia="zh-CN"/>
        </w:rPr>
        <w:t>项目履约要求</w:t>
      </w:r>
    </w:p>
    <w:p w14:paraId="7FAAB32A">
      <w:pPr>
        <w:pStyle w:val="12"/>
        <w:ind w:firstLine="480"/>
        <w:jc w:val="both"/>
        <w:rPr>
          <w:rFonts w:hint="default" w:eastAsiaTheme="minorEastAsia"/>
          <w:lang w:val="en-US" w:eastAsia="zh-CN"/>
        </w:rPr>
      </w:pPr>
      <w:r>
        <w:t xml:space="preserve">一、 </w:t>
      </w:r>
      <w:r>
        <w:rPr>
          <w:rFonts w:hint="eastAsia"/>
          <w:lang w:val="en-US" w:eastAsia="zh-CN"/>
        </w:rPr>
        <w:t>接待服务要求</w:t>
      </w:r>
    </w:p>
    <w:p w14:paraId="2230AE88">
      <w:pPr>
        <w:pStyle w:val="12"/>
        <w:ind w:firstLine="480"/>
        <w:jc w:val="both"/>
        <w:rPr>
          <w:rFonts w:hint="default" w:eastAsiaTheme="minorEastAsia"/>
          <w:lang w:val="en-US" w:eastAsia="zh-CN"/>
        </w:rPr>
      </w:pPr>
      <w:r>
        <w:rPr>
          <w:rFonts w:hint="eastAsia"/>
          <w:lang w:val="en-US" w:eastAsia="zh-CN"/>
        </w:rPr>
        <w:t>二、 配合政府采购主管部门、集中采购机构管理的服务要求</w:t>
      </w:r>
    </w:p>
    <w:p w14:paraId="00AE9FCE">
      <w:pPr>
        <w:pStyle w:val="12"/>
        <w:ind w:firstLine="480"/>
        <w:jc w:val="both"/>
        <w:rPr>
          <w:rFonts w:hint="eastAsia"/>
          <w:lang w:val="en-US" w:eastAsia="zh-CN"/>
        </w:rPr>
      </w:pPr>
      <w:r>
        <w:rPr>
          <w:rFonts w:hint="eastAsia"/>
          <w:lang w:val="en-US" w:eastAsia="zh-CN"/>
        </w:rPr>
        <w:t>三</w:t>
      </w:r>
      <w:r>
        <w:t xml:space="preserve">、 </w:t>
      </w:r>
      <w:r>
        <w:rPr>
          <w:rFonts w:hint="eastAsia"/>
          <w:lang w:val="en-US" w:eastAsia="zh-CN"/>
        </w:rPr>
        <w:t>其他</w:t>
      </w:r>
    </w:p>
    <w:p w14:paraId="1FBA2F1C">
      <w:pPr>
        <w:pStyle w:val="12"/>
        <w:jc w:val="left"/>
        <w:outlineLvl w:val="2"/>
        <w:rPr>
          <w:rFonts w:hint="eastAsia"/>
          <w:b/>
          <w:sz w:val="28"/>
          <w:lang w:val="en-US" w:eastAsia="zh-CN"/>
        </w:rPr>
      </w:pPr>
      <w:r>
        <w:rPr>
          <w:b/>
          <w:sz w:val="28"/>
        </w:rPr>
        <w:t>第</w:t>
      </w:r>
      <w:r>
        <w:rPr>
          <w:rFonts w:hint="eastAsia"/>
          <w:b/>
          <w:sz w:val="28"/>
          <w:lang w:val="en-US" w:eastAsia="zh-CN"/>
        </w:rPr>
        <w:t>五</w:t>
      </w:r>
      <w:r>
        <w:rPr>
          <w:b/>
          <w:sz w:val="28"/>
        </w:rPr>
        <w:t xml:space="preserve">章 </w:t>
      </w:r>
      <w:r>
        <w:rPr>
          <w:rFonts w:hint="eastAsia"/>
          <w:b/>
          <w:sz w:val="28"/>
          <w:lang w:val="en-US" w:eastAsia="zh-CN"/>
        </w:rPr>
        <w:t>资格审查方法和标准</w:t>
      </w:r>
    </w:p>
    <w:p w14:paraId="09FE8F31">
      <w:pPr>
        <w:pStyle w:val="12"/>
        <w:ind w:firstLine="480"/>
        <w:jc w:val="both"/>
      </w:pPr>
      <w:r>
        <w:t>一、评审程序</w:t>
      </w:r>
    </w:p>
    <w:p w14:paraId="7B8357F8">
      <w:pPr>
        <w:pStyle w:val="12"/>
        <w:ind w:firstLine="480"/>
        <w:jc w:val="both"/>
      </w:pPr>
      <w:r>
        <w:t>二、评审细则及标准</w:t>
      </w:r>
    </w:p>
    <w:p w14:paraId="76032CC6">
      <w:pPr>
        <w:pStyle w:val="12"/>
        <w:ind w:firstLine="480"/>
        <w:jc w:val="both"/>
      </w:pPr>
      <w:r>
        <w:rPr>
          <w:rFonts w:hint="eastAsia"/>
          <w:lang w:val="en-US" w:eastAsia="zh-CN"/>
        </w:rPr>
        <w:t>三</w:t>
      </w:r>
      <w:r>
        <w:t>、</w:t>
      </w:r>
      <w:r>
        <w:rPr>
          <w:rFonts w:hint="eastAsia"/>
          <w:lang w:eastAsia="zh-CN"/>
        </w:rPr>
        <w:t>申请文件</w:t>
      </w:r>
      <w:r>
        <w:t>无效情形</w:t>
      </w:r>
    </w:p>
    <w:p w14:paraId="3455AFCF">
      <w:pPr>
        <w:pStyle w:val="12"/>
        <w:jc w:val="left"/>
        <w:outlineLvl w:val="2"/>
      </w:pPr>
      <w:r>
        <w:rPr>
          <w:b/>
          <w:sz w:val="28"/>
        </w:rPr>
        <w:t>第</w:t>
      </w:r>
      <w:r>
        <w:rPr>
          <w:rFonts w:hint="eastAsia"/>
          <w:b/>
          <w:sz w:val="28"/>
          <w:lang w:val="en-US" w:eastAsia="zh-CN"/>
        </w:rPr>
        <w:t>六</w:t>
      </w:r>
      <w:r>
        <w:rPr>
          <w:b/>
          <w:sz w:val="28"/>
        </w:rPr>
        <w:t xml:space="preserve">章 </w:t>
      </w:r>
      <w:r>
        <w:rPr>
          <w:rFonts w:hint="eastAsia"/>
          <w:b/>
          <w:sz w:val="28"/>
          <w:lang w:eastAsia="zh-CN"/>
        </w:rPr>
        <w:t>申请文件</w:t>
      </w:r>
      <w:r>
        <w:rPr>
          <w:b/>
          <w:sz w:val="28"/>
        </w:rPr>
        <w:t>格式</w:t>
      </w:r>
    </w:p>
    <w:p w14:paraId="32CE67E5">
      <w:pPr>
        <w:pStyle w:val="12"/>
        <w:ind w:firstLine="480"/>
        <w:jc w:val="both"/>
        <w:rPr>
          <w:rFonts w:hint="eastAsia"/>
          <w:lang w:val="en-US" w:eastAsia="zh-CN"/>
        </w:rPr>
      </w:pPr>
      <w:r>
        <w:rPr>
          <w:rFonts w:hint="eastAsia"/>
          <w:lang w:val="en-US" w:eastAsia="zh-CN"/>
        </w:rPr>
        <w:t>供应商一般资格要求</w:t>
      </w:r>
    </w:p>
    <w:p w14:paraId="7FA7C953">
      <w:pPr>
        <w:pStyle w:val="12"/>
        <w:ind w:firstLine="480"/>
        <w:jc w:val="both"/>
        <w:rPr>
          <w:rFonts w:hint="eastAsia" w:eastAsiaTheme="minorEastAsia"/>
          <w:lang w:eastAsia="zh-CN"/>
        </w:rPr>
      </w:pPr>
      <w:r>
        <w:t>一、 供应商资格要求</w:t>
      </w:r>
      <w:r>
        <w:rPr>
          <w:rFonts w:hint="eastAsia"/>
          <w:lang w:val="en-US" w:eastAsia="zh-CN"/>
        </w:rPr>
        <w:t>1</w:t>
      </w:r>
    </w:p>
    <w:p w14:paraId="4E73BDB1">
      <w:pPr>
        <w:pStyle w:val="12"/>
        <w:ind w:firstLine="480"/>
        <w:jc w:val="both"/>
        <w:rPr>
          <w:rFonts w:hint="eastAsia"/>
          <w:lang w:val="en-US" w:eastAsia="zh-CN"/>
        </w:rPr>
      </w:pPr>
      <w:r>
        <w:t>二、 供应商资格要求</w:t>
      </w:r>
      <w:r>
        <w:rPr>
          <w:rFonts w:hint="eastAsia"/>
          <w:lang w:val="en-US" w:eastAsia="zh-CN"/>
        </w:rPr>
        <w:t>2</w:t>
      </w:r>
    </w:p>
    <w:p w14:paraId="19FDAC5A">
      <w:pPr>
        <w:pStyle w:val="12"/>
        <w:ind w:firstLine="480"/>
        <w:jc w:val="both"/>
        <w:rPr>
          <w:rFonts w:hint="eastAsia"/>
          <w:lang w:val="en-US" w:eastAsia="zh-CN"/>
        </w:rPr>
      </w:pPr>
      <w:r>
        <w:t>三、 供应商资格要求</w:t>
      </w:r>
      <w:r>
        <w:rPr>
          <w:rFonts w:hint="eastAsia"/>
          <w:lang w:val="en-US" w:eastAsia="zh-CN"/>
        </w:rPr>
        <w:t>3</w:t>
      </w:r>
    </w:p>
    <w:p w14:paraId="46E592B0">
      <w:pPr>
        <w:pStyle w:val="12"/>
        <w:ind w:firstLine="480"/>
        <w:jc w:val="both"/>
        <w:rPr>
          <w:rFonts w:hint="eastAsia"/>
          <w:lang w:val="en-US" w:eastAsia="zh-CN"/>
        </w:rPr>
      </w:pPr>
      <w:r>
        <w:rPr>
          <w:rFonts w:hint="eastAsia"/>
          <w:lang w:val="en-US" w:eastAsia="zh-CN"/>
        </w:rPr>
        <w:t xml:space="preserve">四、 </w:t>
      </w:r>
      <w:r>
        <w:t>供应商资格要求</w:t>
      </w:r>
      <w:r>
        <w:rPr>
          <w:rFonts w:hint="eastAsia"/>
          <w:lang w:val="en-US" w:eastAsia="zh-CN"/>
        </w:rPr>
        <w:t>4</w:t>
      </w:r>
    </w:p>
    <w:p w14:paraId="3518A751">
      <w:pPr>
        <w:pStyle w:val="12"/>
        <w:ind w:firstLine="480"/>
        <w:jc w:val="both"/>
        <w:rPr>
          <w:rFonts w:hint="eastAsia"/>
          <w:lang w:val="en-US" w:eastAsia="zh-CN"/>
        </w:rPr>
      </w:pPr>
      <w:r>
        <w:rPr>
          <w:rFonts w:hint="eastAsia"/>
          <w:lang w:val="en-US" w:eastAsia="zh-CN"/>
        </w:rPr>
        <w:t xml:space="preserve">五、 </w:t>
      </w:r>
      <w:r>
        <w:t>供应商资格要求</w:t>
      </w:r>
      <w:r>
        <w:rPr>
          <w:rFonts w:hint="eastAsia"/>
          <w:lang w:val="en-US" w:eastAsia="zh-CN"/>
        </w:rPr>
        <w:t>5</w:t>
      </w:r>
    </w:p>
    <w:p w14:paraId="50D4F3A2">
      <w:pPr>
        <w:pStyle w:val="12"/>
        <w:ind w:firstLine="480"/>
        <w:jc w:val="both"/>
        <w:rPr>
          <w:rFonts w:hint="eastAsia"/>
          <w:lang w:val="en-US" w:eastAsia="zh-CN"/>
        </w:rPr>
      </w:pPr>
      <w:r>
        <w:rPr>
          <w:rFonts w:hint="eastAsia"/>
          <w:lang w:val="en-US" w:eastAsia="zh-CN"/>
        </w:rPr>
        <w:t xml:space="preserve">六、 </w:t>
      </w:r>
      <w:r>
        <w:t>供应商资格要求</w:t>
      </w:r>
      <w:r>
        <w:rPr>
          <w:rFonts w:hint="eastAsia"/>
          <w:lang w:val="en-US" w:eastAsia="zh-CN"/>
        </w:rPr>
        <w:t>6</w:t>
      </w:r>
    </w:p>
    <w:p w14:paraId="30793DFE">
      <w:pPr>
        <w:pStyle w:val="12"/>
        <w:ind w:firstLine="480"/>
        <w:jc w:val="both"/>
        <w:rPr>
          <w:rFonts w:hint="eastAsia"/>
          <w:lang w:val="en-US" w:eastAsia="zh-CN"/>
        </w:rPr>
      </w:pPr>
      <w:r>
        <w:rPr>
          <w:rFonts w:hint="eastAsia"/>
          <w:lang w:val="en-US" w:eastAsia="zh-CN"/>
        </w:rPr>
        <w:t xml:space="preserve">七、 </w:t>
      </w:r>
      <w:r>
        <w:t>供应商资格要求</w:t>
      </w:r>
      <w:r>
        <w:rPr>
          <w:rFonts w:hint="eastAsia"/>
          <w:lang w:val="en-US" w:eastAsia="zh-CN"/>
        </w:rPr>
        <w:t>7</w:t>
      </w:r>
    </w:p>
    <w:p w14:paraId="6853F714">
      <w:pPr>
        <w:pStyle w:val="12"/>
        <w:ind w:firstLine="480"/>
        <w:jc w:val="both"/>
        <w:rPr>
          <w:rFonts w:hint="eastAsia"/>
          <w:lang w:val="en-US" w:eastAsia="zh-CN"/>
        </w:rPr>
      </w:pPr>
      <w:r>
        <w:rPr>
          <w:rFonts w:hint="eastAsia"/>
          <w:lang w:val="en-US" w:eastAsia="zh-CN"/>
        </w:rPr>
        <w:t xml:space="preserve">八、 </w:t>
      </w:r>
      <w:r>
        <w:t>供应商资格要求</w:t>
      </w:r>
      <w:r>
        <w:rPr>
          <w:rFonts w:hint="eastAsia"/>
          <w:lang w:val="en-US" w:eastAsia="zh-CN"/>
        </w:rPr>
        <w:t>8</w:t>
      </w:r>
    </w:p>
    <w:p w14:paraId="30A1EF7C">
      <w:pPr>
        <w:pStyle w:val="12"/>
        <w:ind w:firstLine="480"/>
        <w:jc w:val="both"/>
        <w:rPr>
          <w:rFonts w:hint="eastAsia"/>
        </w:rPr>
      </w:pPr>
      <w:r>
        <w:rPr>
          <w:rFonts w:hint="eastAsia"/>
          <w:lang w:val="en-US" w:eastAsia="zh-CN"/>
        </w:rPr>
        <w:t xml:space="preserve">九、 </w:t>
      </w:r>
      <w:r>
        <w:rPr>
          <w:rFonts w:hint="eastAsia"/>
        </w:rPr>
        <w:t>党政机关会议定点</w:t>
      </w:r>
      <w:r>
        <w:rPr>
          <w:rFonts w:hint="eastAsia"/>
          <w:lang w:val="en-US" w:eastAsia="zh-CN"/>
        </w:rPr>
        <w:t>场所</w:t>
      </w:r>
      <w:r>
        <w:rPr>
          <w:rFonts w:hint="eastAsia"/>
        </w:rPr>
        <w:t>供应商承诺函</w:t>
      </w:r>
    </w:p>
    <w:p w14:paraId="07A048AD">
      <w:pPr>
        <w:pStyle w:val="12"/>
        <w:ind w:firstLine="480"/>
        <w:jc w:val="both"/>
      </w:pPr>
      <w:r>
        <w:rPr>
          <w:rFonts w:hint="eastAsia"/>
          <w:lang w:val="en-US" w:eastAsia="zh-CN"/>
        </w:rPr>
        <w:t>十</w:t>
      </w:r>
      <w:r>
        <w:t>、</w:t>
      </w:r>
      <w:r>
        <w:rPr>
          <w:rFonts w:hint="eastAsia"/>
          <w:lang w:val="en-US" w:eastAsia="zh-CN"/>
        </w:rPr>
        <w:t xml:space="preserve"> </w:t>
      </w:r>
      <w:r>
        <w:rPr>
          <w:rFonts w:hint="eastAsia"/>
          <w:lang w:eastAsia="zh-CN"/>
        </w:rPr>
        <w:t>供应商基本情况表</w:t>
      </w:r>
    </w:p>
    <w:p w14:paraId="5D6EBC4B">
      <w:pPr>
        <w:pStyle w:val="12"/>
        <w:ind w:firstLine="480"/>
        <w:jc w:val="both"/>
        <w:rPr>
          <w:rFonts w:hint="eastAsia"/>
        </w:rPr>
      </w:pPr>
      <w:r>
        <w:rPr>
          <w:rFonts w:hint="eastAsia"/>
          <w:lang w:val="en-US" w:eastAsia="zh-CN"/>
        </w:rPr>
        <w:t xml:space="preserve">十一、 </w:t>
      </w:r>
      <w:r>
        <w:t>供应商认为需要加以说明的其他内容</w:t>
      </w:r>
    </w:p>
    <w:p w14:paraId="54563BF5">
      <w:pPr>
        <w:pStyle w:val="12"/>
        <w:ind w:firstLine="480"/>
        <w:jc w:val="both"/>
      </w:pPr>
      <w:r>
        <w:rPr>
          <w:rFonts w:hint="eastAsia"/>
          <w:lang w:val="en-US" w:eastAsia="zh-CN"/>
        </w:rPr>
        <w:t>十二</w:t>
      </w:r>
      <w:r>
        <w:t>、</w:t>
      </w:r>
      <w:r>
        <w:rPr>
          <w:rFonts w:hint="eastAsia"/>
          <w:lang w:val="en-US" w:eastAsia="zh-CN"/>
        </w:rPr>
        <w:t xml:space="preserve"> </w:t>
      </w:r>
      <w:r>
        <w:t>法定代表人(负责人)证明书</w:t>
      </w:r>
    </w:p>
    <w:p w14:paraId="0AFBB7CC">
      <w:pPr>
        <w:pStyle w:val="12"/>
        <w:ind w:firstLine="480"/>
        <w:jc w:val="both"/>
        <w:rPr>
          <w:rFonts w:hint="eastAsia"/>
          <w:lang w:val="en-US" w:eastAsia="zh-CN"/>
        </w:rPr>
      </w:pPr>
      <w:r>
        <w:rPr>
          <w:rFonts w:hint="eastAsia"/>
          <w:lang w:val="en-US" w:eastAsia="zh-CN"/>
        </w:rPr>
        <w:t>十三、 申请文件签署授权委托书</w:t>
      </w:r>
    </w:p>
    <w:p w14:paraId="33B6455C">
      <w:pPr>
        <w:pStyle w:val="12"/>
        <w:ind w:firstLine="480"/>
        <w:jc w:val="both"/>
        <w:rPr>
          <w:rFonts w:hint="eastAsia"/>
          <w:lang w:val="en-US" w:eastAsia="zh-CN"/>
        </w:rPr>
      </w:pPr>
    </w:p>
    <w:p w14:paraId="31DFE7E1">
      <w:pPr>
        <w:pStyle w:val="12"/>
        <w:ind w:firstLine="480"/>
        <w:jc w:val="both"/>
        <w:rPr>
          <w:rFonts w:hint="eastAsia"/>
          <w:lang w:val="en-US" w:eastAsia="zh-CN"/>
        </w:rPr>
      </w:pPr>
      <w:r>
        <w:rPr>
          <w:rFonts w:hint="eastAsia"/>
          <w:lang w:val="en-US" w:eastAsia="zh-CN"/>
        </w:rPr>
        <w:t>供应商特殊资格要求</w:t>
      </w:r>
    </w:p>
    <w:p w14:paraId="700D627A">
      <w:pPr>
        <w:pStyle w:val="12"/>
        <w:ind w:firstLine="480"/>
        <w:jc w:val="both"/>
        <w:rPr>
          <w:rFonts w:hint="default"/>
          <w:lang w:val="en-US" w:eastAsia="zh-CN"/>
        </w:rPr>
      </w:pPr>
      <w:r>
        <w:rPr>
          <w:rFonts w:hint="eastAsia"/>
          <w:lang w:val="en-US" w:eastAsia="zh-CN"/>
        </w:rPr>
        <w:t>一、报价一览表</w:t>
      </w:r>
    </w:p>
    <w:p w14:paraId="17A516E3">
      <w:pPr>
        <w:pStyle w:val="12"/>
        <w:ind w:firstLine="480"/>
        <w:jc w:val="both"/>
      </w:pPr>
    </w:p>
    <w:p w14:paraId="1E40A325">
      <w:pPr>
        <w:pStyle w:val="12"/>
        <w:jc w:val="left"/>
        <w:outlineLvl w:val="2"/>
      </w:pPr>
      <w:r>
        <w:rPr>
          <w:b/>
          <w:sz w:val="28"/>
        </w:rPr>
        <w:t>第</w:t>
      </w:r>
      <w:r>
        <w:rPr>
          <w:rFonts w:hint="eastAsia"/>
          <w:b/>
          <w:sz w:val="28"/>
          <w:lang w:val="en-US" w:eastAsia="zh-CN"/>
        </w:rPr>
        <w:t>七</w:t>
      </w:r>
      <w:r>
        <w:rPr>
          <w:b/>
          <w:sz w:val="28"/>
        </w:rPr>
        <w:t>章 框架协议文本</w:t>
      </w:r>
    </w:p>
    <w:p w14:paraId="5897C190">
      <w:pPr>
        <w:pStyle w:val="12"/>
        <w:jc w:val="center"/>
        <w:outlineLvl w:val="1"/>
        <w:rPr>
          <w:b/>
          <w:sz w:val="36"/>
        </w:rPr>
        <w:sectPr>
          <w:pgSz w:w="11906" w:h="16838"/>
          <w:pgMar w:top="1440" w:right="1800" w:bottom="1440" w:left="1800" w:header="851" w:footer="992" w:gutter="0"/>
          <w:cols w:space="425" w:num="1"/>
          <w:docGrid w:type="lines" w:linePitch="312" w:charSpace="0"/>
        </w:sectPr>
      </w:pPr>
    </w:p>
    <w:p w14:paraId="1601EFD9">
      <w:pPr>
        <w:pStyle w:val="12"/>
        <w:jc w:val="center"/>
        <w:outlineLvl w:val="1"/>
      </w:pPr>
      <w:r>
        <w:rPr>
          <w:b/>
          <w:sz w:val="36"/>
        </w:rPr>
        <w:t>第一章 参加征集活动的邀请</w:t>
      </w:r>
    </w:p>
    <w:p w14:paraId="01B17117">
      <w:pPr>
        <w:pStyle w:val="12"/>
        <w:jc w:val="left"/>
        <w:outlineLvl w:val="2"/>
      </w:pPr>
      <w:r>
        <w:rPr>
          <w:b/>
          <w:sz w:val="28"/>
        </w:rPr>
        <w:t>项目概况</w:t>
      </w:r>
    </w:p>
    <w:p w14:paraId="0ECC4004">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 xml:space="preserve">为进一步加强和规范市直党政机关和事业单位会议费管理，《中央和国家机关会议费管理办法》（财行﹝2016﹞214号）及《深圳市财政局关于印发&lt;深圳市市直党政机关和事业单位会议费管理办法&gt;的通知》（深财行﹝2022﹞8号）要求：“不能够采用电视电话、网络视频召开的会议实行定点管理。各单位会议应当到定点会议场所召开，按照协议价格结算费用。未纳入定点范围，价格低于会议综合定额标准的单位内部会议室、礼堂、宾馆、招待所、培训中心，可优先作为本单位或本系统会议场所。各单位不得到市外或风景名胜区召开会议”。 </w:t>
      </w:r>
    </w:p>
    <w:p w14:paraId="4DD29B0A">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为做好框架协议采购工作，根据《政府采购框架协议采购方式管理暂行办法》（财政部令第110号）和《财政部关于做好政府采购框架协议采购工作有关问题的通知》（财库〔2022〕17号）要求，结合深圳市政府采购情况，组织本次党政机关会议定点</w:t>
      </w:r>
      <w:r>
        <w:rPr>
          <w:rFonts w:hint="eastAsia" w:asciiTheme="minorHAnsi" w:hAnsiTheme="minorHAnsi" w:eastAsiaTheme="minorEastAsia" w:cstheme="minorBidi"/>
          <w:snapToGrid/>
          <w:color w:val="auto"/>
          <w:kern w:val="0"/>
          <w:sz w:val="20"/>
          <w:szCs w:val="20"/>
          <w:lang w:val="en-US" w:eastAsia="zh-CN"/>
        </w:rPr>
        <w:t>场所</w:t>
      </w:r>
      <w:r>
        <w:rPr>
          <w:rFonts w:hint="eastAsia" w:asciiTheme="minorHAnsi" w:hAnsiTheme="minorHAnsi" w:eastAsiaTheme="minorEastAsia" w:cstheme="minorBidi"/>
          <w:snapToGrid/>
          <w:color w:val="auto"/>
          <w:kern w:val="0"/>
          <w:sz w:val="20"/>
          <w:szCs w:val="20"/>
          <w:lang w:val="en-US" w:eastAsia="zh-Hans"/>
        </w:rPr>
        <w:t>框架协议采购征集工作，欢迎符合资格条件的供应商报名参加。 本次项目征集人为深圳公共资源交易中心，具体由深圳公共资源交易中心（深圳交易集团有限公司政府采购业务分公司）组织实施。</w:t>
      </w:r>
    </w:p>
    <w:p w14:paraId="16CFC70A">
      <w:pPr>
        <w:pStyle w:val="12"/>
        <w:jc w:val="left"/>
        <w:outlineLvl w:val="2"/>
      </w:pPr>
      <w:r>
        <w:rPr>
          <w:b/>
          <w:sz w:val="28"/>
        </w:rPr>
        <w:t>一、项目基本情况</w:t>
      </w:r>
    </w:p>
    <w:p w14:paraId="0300FF7D">
      <w:pPr>
        <w:pStyle w:val="12"/>
        <w:ind w:firstLine="480"/>
        <w:jc w:val="left"/>
        <w:rPr>
          <w:rFonts w:hint="default" w:eastAsiaTheme="minorEastAsia"/>
          <w:lang w:val="en-US" w:eastAsia="zh-CN"/>
        </w:rPr>
      </w:pPr>
      <w:r>
        <w:t>1.项目编</w:t>
      </w:r>
      <w:r>
        <w:rPr>
          <w:lang w:eastAsia="zh-CN"/>
        </w:rPr>
        <w:t>号：</w:t>
      </w:r>
      <w:r>
        <w:rPr>
          <w:rFonts w:asciiTheme="minorHAnsi" w:hAnsiTheme="minorHAnsi" w:eastAsiaTheme="minorEastAsia" w:cstheme="minorBidi"/>
          <w:i w:val="0"/>
          <w:iCs w:val="0"/>
          <w:caps w:val="0"/>
          <w:color w:val="auto"/>
          <w:spacing w:val="0"/>
          <w:sz w:val="20"/>
          <w:szCs w:val="20"/>
          <w:shd w:val="clear" w:fill="auto"/>
          <w:lang w:eastAsia="zh-CN"/>
        </w:rPr>
        <w:t>SZKC2026000002</w:t>
      </w:r>
    </w:p>
    <w:p w14:paraId="2DC4CB14">
      <w:pPr>
        <w:pStyle w:val="12"/>
        <w:ind w:firstLine="480"/>
        <w:jc w:val="left"/>
        <w:rPr>
          <w:rFonts w:hint="eastAsia" w:eastAsiaTheme="minorEastAsia"/>
          <w:lang w:val="en-US" w:eastAsia="zh-CN"/>
        </w:rPr>
      </w:pPr>
      <w:r>
        <w:t>2.项目名称：</w:t>
      </w:r>
      <w:r>
        <w:rPr>
          <w:rFonts w:hint="default"/>
        </w:rPr>
        <w:t>202</w:t>
      </w:r>
      <w:r>
        <w:rPr>
          <w:rFonts w:hint="eastAsia"/>
          <w:lang w:val="en-US" w:eastAsia="zh-CN"/>
        </w:rPr>
        <w:t>6-2027</w:t>
      </w:r>
      <w:r>
        <w:t>年度</w:t>
      </w:r>
      <w:r>
        <w:rPr>
          <w:rFonts w:hint="eastAsia"/>
        </w:rPr>
        <w:t>党政机关会议定点</w:t>
      </w:r>
      <w:r>
        <w:rPr>
          <w:rFonts w:hint="eastAsia"/>
          <w:lang w:val="en-US" w:eastAsia="zh-CN"/>
        </w:rPr>
        <w:t>场所</w:t>
      </w:r>
      <w:r>
        <w:t>框架协议采购项目</w:t>
      </w:r>
      <w:r>
        <w:rPr>
          <w:rFonts w:hint="eastAsia"/>
          <w:lang w:eastAsia="zh-CN"/>
        </w:rPr>
        <w:t>（</w:t>
      </w:r>
      <w:r>
        <w:rPr>
          <w:rFonts w:hint="eastAsia"/>
          <w:lang w:val="en-US" w:eastAsia="zh-CN"/>
        </w:rPr>
        <w:t>第二批</w:t>
      </w:r>
      <w:r>
        <w:rPr>
          <w:rFonts w:hint="eastAsia"/>
          <w:lang w:eastAsia="zh-CN"/>
        </w:rPr>
        <w:t>）</w:t>
      </w:r>
    </w:p>
    <w:p w14:paraId="4FD8BBC0">
      <w:pPr>
        <w:pStyle w:val="12"/>
        <w:jc w:val="left"/>
        <w:outlineLvl w:val="2"/>
      </w:pPr>
      <w:r>
        <w:rPr>
          <w:b/>
          <w:sz w:val="28"/>
        </w:rPr>
        <w:t>二、供应商资格要求</w:t>
      </w:r>
    </w:p>
    <w:p w14:paraId="5FBB4C0E">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CN"/>
        </w:rPr>
      </w:pPr>
      <w:r>
        <w:rPr>
          <w:rFonts w:hint="eastAsia" w:asciiTheme="minorHAnsi" w:hAnsiTheme="minorHAnsi" w:eastAsiaTheme="minorEastAsia" w:cstheme="minorBidi"/>
          <w:snapToGrid/>
          <w:color w:val="auto"/>
          <w:kern w:val="0"/>
          <w:sz w:val="20"/>
          <w:szCs w:val="20"/>
          <w:lang w:val="en-US" w:eastAsia="zh-CN"/>
        </w:rPr>
        <w:t>1.</w:t>
      </w:r>
      <w:r>
        <w:rPr>
          <w:rFonts w:hint="eastAsia" w:asciiTheme="minorHAnsi" w:hAnsiTheme="minorHAnsi" w:eastAsiaTheme="minorEastAsia" w:cstheme="minorBidi"/>
          <w:snapToGrid/>
          <w:color w:val="auto"/>
          <w:kern w:val="0"/>
          <w:sz w:val="20"/>
          <w:szCs w:val="20"/>
          <w:lang w:val="en-US" w:eastAsia="zh-Hans"/>
        </w:rPr>
        <w:t>具有独立法人资格或</w:t>
      </w:r>
      <w:r>
        <w:rPr>
          <w:rFonts w:hint="eastAsia" w:asciiTheme="minorHAnsi" w:hAnsiTheme="minorHAnsi" w:eastAsiaTheme="minorEastAsia" w:cstheme="minorBidi"/>
          <w:snapToGrid/>
          <w:color w:val="auto"/>
          <w:kern w:val="0"/>
          <w:sz w:val="20"/>
          <w:szCs w:val="20"/>
          <w:lang w:val="en-US" w:eastAsia="zh-CN"/>
        </w:rPr>
        <w:t>是</w:t>
      </w:r>
      <w:r>
        <w:rPr>
          <w:rFonts w:hint="eastAsia" w:asciiTheme="minorHAnsi" w:hAnsiTheme="minorHAnsi" w:eastAsiaTheme="minorEastAsia" w:cstheme="minorBidi"/>
          <w:snapToGrid/>
          <w:color w:val="auto"/>
          <w:kern w:val="0"/>
          <w:sz w:val="20"/>
          <w:szCs w:val="20"/>
          <w:lang w:val="en-US" w:eastAsia="zh-Hans"/>
        </w:rPr>
        <w:t>具有独立承担民事责任能力的其他组织（提供营业执照或事业单位法人证书等证明资料扫描件；如果参与</w:t>
      </w:r>
      <w:r>
        <w:rPr>
          <w:rFonts w:hint="eastAsia" w:asciiTheme="minorHAnsi" w:hAnsiTheme="minorHAnsi" w:eastAsiaTheme="minorEastAsia" w:cstheme="minorBidi"/>
          <w:snapToGrid/>
          <w:color w:val="auto"/>
          <w:kern w:val="0"/>
          <w:sz w:val="20"/>
          <w:szCs w:val="20"/>
          <w:lang w:val="en-US" w:eastAsia="zh-CN"/>
        </w:rPr>
        <w:t>申请</w:t>
      </w:r>
      <w:r>
        <w:rPr>
          <w:rFonts w:hint="eastAsia" w:asciiTheme="minorHAnsi" w:hAnsiTheme="minorHAnsi" w:eastAsiaTheme="minorEastAsia" w:cstheme="minorBidi"/>
          <w:snapToGrid/>
          <w:color w:val="auto"/>
          <w:kern w:val="0"/>
          <w:sz w:val="20"/>
          <w:szCs w:val="20"/>
          <w:lang w:val="en-US" w:eastAsia="zh-Hans"/>
        </w:rPr>
        <w:t>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w:t>
      </w:r>
      <w:r>
        <w:rPr>
          <w:rFonts w:hint="eastAsia" w:asciiTheme="minorHAnsi" w:hAnsiTheme="minorHAnsi" w:eastAsiaTheme="minorEastAsia" w:cstheme="minorBidi"/>
          <w:snapToGrid/>
          <w:color w:val="auto"/>
          <w:kern w:val="0"/>
          <w:sz w:val="20"/>
          <w:szCs w:val="20"/>
          <w:lang w:val="en-US" w:eastAsia="zh-CN"/>
        </w:rPr>
        <w:t>申请</w:t>
      </w:r>
      <w:r>
        <w:rPr>
          <w:rFonts w:hint="eastAsia" w:asciiTheme="minorHAnsi" w:hAnsiTheme="minorHAnsi" w:eastAsiaTheme="minorEastAsia" w:cstheme="minorBidi"/>
          <w:snapToGrid/>
          <w:color w:val="auto"/>
          <w:kern w:val="0"/>
          <w:sz w:val="20"/>
          <w:szCs w:val="20"/>
          <w:lang w:val="en-US" w:eastAsia="zh-Hans"/>
        </w:rPr>
        <w:t>，也不接受集团（或总公司）与分公司同时参与本项目</w:t>
      </w:r>
      <w:r>
        <w:rPr>
          <w:rFonts w:hint="eastAsia" w:asciiTheme="minorHAnsi" w:hAnsiTheme="minorHAnsi" w:eastAsiaTheme="minorEastAsia" w:cstheme="minorBidi"/>
          <w:snapToGrid/>
          <w:color w:val="auto"/>
          <w:kern w:val="0"/>
          <w:sz w:val="20"/>
          <w:szCs w:val="20"/>
          <w:lang w:val="en-US" w:eastAsia="zh-CN"/>
        </w:rPr>
        <w:t>申请</w:t>
      </w:r>
      <w:r>
        <w:rPr>
          <w:rFonts w:hint="eastAsia" w:asciiTheme="minorHAnsi" w:hAnsiTheme="minorHAnsi" w:eastAsiaTheme="minorEastAsia" w:cstheme="minorBidi"/>
          <w:snapToGrid/>
          <w:color w:val="auto"/>
          <w:kern w:val="0"/>
          <w:sz w:val="20"/>
          <w:szCs w:val="20"/>
          <w:lang w:val="en-US" w:eastAsia="zh-Hans"/>
        </w:rPr>
        <w:t>，如出现上述情形，该两家或以上供应商的</w:t>
      </w:r>
      <w:r>
        <w:rPr>
          <w:rFonts w:hint="eastAsia" w:asciiTheme="minorHAnsi" w:hAnsiTheme="minorHAnsi" w:eastAsiaTheme="minorEastAsia" w:cstheme="minorBidi"/>
          <w:snapToGrid/>
          <w:color w:val="auto"/>
          <w:kern w:val="0"/>
          <w:sz w:val="20"/>
          <w:szCs w:val="20"/>
          <w:lang w:val="en-US" w:eastAsia="zh-CN"/>
        </w:rPr>
        <w:t>申请文件</w:t>
      </w:r>
      <w:r>
        <w:rPr>
          <w:rFonts w:hint="eastAsia" w:asciiTheme="minorHAnsi" w:hAnsiTheme="minorHAnsi" w:eastAsiaTheme="minorEastAsia" w:cstheme="minorBidi"/>
          <w:snapToGrid/>
          <w:color w:val="auto"/>
          <w:kern w:val="0"/>
          <w:sz w:val="20"/>
          <w:szCs w:val="20"/>
          <w:lang w:val="en-US" w:eastAsia="zh-Hans"/>
        </w:rPr>
        <w:t>均按</w:t>
      </w:r>
      <w:r>
        <w:rPr>
          <w:rFonts w:hint="eastAsia" w:asciiTheme="minorHAnsi" w:hAnsiTheme="minorHAnsi" w:eastAsiaTheme="minorEastAsia" w:cstheme="minorBidi"/>
          <w:snapToGrid/>
          <w:color w:val="auto"/>
          <w:kern w:val="0"/>
          <w:sz w:val="20"/>
          <w:szCs w:val="20"/>
          <w:lang w:val="en-US" w:eastAsia="zh-CN"/>
        </w:rPr>
        <w:t>申请无效</w:t>
      </w:r>
      <w:r>
        <w:rPr>
          <w:rFonts w:hint="eastAsia" w:asciiTheme="minorHAnsi" w:hAnsiTheme="minorHAnsi" w:eastAsiaTheme="minorEastAsia" w:cstheme="minorBidi"/>
          <w:snapToGrid/>
          <w:color w:val="auto"/>
          <w:kern w:val="0"/>
          <w:sz w:val="20"/>
          <w:szCs w:val="20"/>
          <w:lang w:val="en-US" w:eastAsia="zh-Hans"/>
        </w:rPr>
        <w:t>处理）</w:t>
      </w:r>
      <w:r>
        <w:rPr>
          <w:rFonts w:hint="eastAsia" w:asciiTheme="minorHAnsi" w:hAnsiTheme="minorHAnsi" w:eastAsiaTheme="minorEastAsia" w:cstheme="minorBidi"/>
          <w:snapToGrid/>
          <w:color w:val="auto"/>
          <w:kern w:val="0"/>
          <w:sz w:val="20"/>
          <w:szCs w:val="20"/>
          <w:lang w:val="en-US" w:eastAsia="zh-CN"/>
        </w:rPr>
        <w:t>。</w:t>
      </w:r>
    </w:p>
    <w:p w14:paraId="4139B4CF">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CN"/>
        </w:rPr>
      </w:pPr>
      <w:r>
        <w:rPr>
          <w:rFonts w:hint="eastAsia" w:asciiTheme="minorHAnsi" w:hAnsiTheme="minorHAnsi" w:eastAsiaTheme="minorEastAsia" w:cstheme="minorBidi"/>
          <w:snapToGrid/>
          <w:color w:val="auto"/>
          <w:kern w:val="0"/>
          <w:sz w:val="20"/>
          <w:szCs w:val="20"/>
          <w:lang w:val="en-US" w:eastAsia="zh-CN"/>
        </w:rPr>
        <w:t>2.须在深圳市行政辖区内具有宾馆、酒店、招待所（提供营业地点详细地址及地理位置简图）。</w:t>
      </w:r>
    </w:p>
    <w:p w14:paraId="46B5E299">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CN"/>
        </w:rPr>
      </w:pPr>
      <w:r>
        <w:rPr>
          <w:rFonts w:hint="eastAsia" w:asciiTheme="minorHAnsi" w:hAnsiTheme="minorHAnsi" w:eastAsiaTheme="minorEastAsia" w:cstheme="minorBidi"/>
          <w:snapToGrid/>
          <w:color w:val="auto"/>
          <w:kern w:val="0"/>
          <w:sz w:val="20"/>
          <w:szCs w:val="20"/>
          <w:lang w:val="en-US" w:eastAsia="zh-CN"/>
        </w:rPr>
        <w:t>3.具有举行会议和提供住宿的服务能力（提供照片及相关文字说明）。</w:t>
      </w:r>
    </w:p>
    <w:p w14:paraId="60939E45">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CN"/>
        </w:rPr>
      </w:pPr>
      <w:r>
        <w:rPr>
          <w:rFonts w:hint="eastAsia" w:asciiTheme="minorHAnsi" w:hAnsiTheme="minorHAnsi" w:eastAsiaTheme="minorEastAsia" w:cstheme="minorBidi"/>
          <w:snapToGrid/>
          <w:color w:val="auto"/>
          <w:kern w:val="0"/>
          <w:sz w:val="20"/>
          <w:szCs w:val="20"/>
          <w:lang w:val="en-US" w:eastAsia="zh-CN"/>
        </w:rPr>
        <w:t>4.具有合法有效的特种行业许可证（提供行政部门出具的特种行业许可证扫描件）。</w:t>
      </w:r>
    </w:p>
    <w:p w14:paraId="4EA12F2B">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CN"/>
        </w:rPr>
      </w:pPr>
      <w:r>
        <w:rPr>
          <w:rFonts w:hint="eastAsia" w:asciiTheme="minorHAnsi" w:hAnsiTheme="minorHAnsi" w:eastAsiaTheme="minorEastAsia" w:cstheme="minorBidi"/>
          <w:snapToGrid/>
          <w:color w:val="auto"/>
          <w:kern w:val="0"/>
          <w:sz w:val="20"/>
          <w:szCs w:val="20"/>
          <w:lang w:val="en-US" w:eastAsia="zh-CN"/>
        </w:rPr>
        <w:t>5.会议场所须通过消防安全检查（提供行政部门出具的消防安全检查合格证明或验收单扫描件）。</w:t>
      </w:r>
    </w:p>
    <w:p w14:paraId="7D0BE29E">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CN"/>
        </w:rPr>
      </w:pPr>
      <w:r>
        <w:rPr>
          <w:rFonts w:hint="eastAsia" w:asciiTheme="minorHAnsi" w:hAnsiTheme="minorHAnsi" w:eastAsiaTheme="minorEastAsia" w:cstheme="minorBidi"/>
          <w:snapToGrid/>
          <w:color w:val="auto"/>
          <w:kern w:val="0"/>
          <w:sz w:val="20"/>
          <w:szCs w:val="20"/>
          <w:lang w:val="en-US" w:eastAsia="zh-CN"/>
        </w:rPr>
        <w:t>6.具有合法有效的卫生许可证（提供行政部门出具的卫生许可证扫描件）。</w:t>
      </w:r>
    </w:p>
    <w:p w14:paraId="04469071">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CN"/>
        </w:rPr>
      </w:pPr>
      <w:r>
        <w:rPr>
          <w:rFonts w:hint="eastAsia" w:asciiTheme="minorHAnsi" w:hAnsiTheme="minorHAnsi" w:eastAsiaTheme="minorEastAsia" w:cstheme="minorBidi"/>
          <w:snapToGrid/>
          <w:color w:val="auto"/>
          <w:kern w:val="0"/>
          <w:sz w:val="20"/>
          <w:szCs w:val="20"/>
          <w:lang w:val="en-US" w:eastAsia="zh-CN"/>
        </w:rPr>
        <w:t>7.具有餐饮服务能力（自身提供餐饮服务的，提供食品经营许可证扫描件；自身不提供餐饮服务的，须与餐饮企业达成合作协议，提供餐饮企业的食品经营许可证及双方合作协议扫描件，并由合作餐饮企业提供不收取其它服务费用的承诺函）。</w:t>
      </w:r>
    </w:p>
    <w:p w14:paraId="15D341F8">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CN"/>
        </w:rPr>
      </w:pPr>
      <w:r>
        <w:rPr>
          <w:rFonts w:hint="eastAsia" w:asciiTheme="minorHAnsi" w:hAnsiTheme="minorHAnsi" w:eastAsiaTheme="minorEastAsia" w:cstheme="minorBidi"/>
          <w:snapToGrid/>
          <w:color w:val="auto"/>
          <w:kern w:val="0"/>
          <w:sz w:val="20"/>
          <w:szCs w:val="20"/>
          <w:lang w:val="en-US" w:eastAsia="zh-CN"/>
        </w:rPr>
        <w:t>8.申请供应商或其合作餐饮企业的餐饮服务食品安全等级公示量化等级应当达到B级或以上（由提供餐饮服务的供应商出具承诺函并提供有效的餐饮服务食品安全等级公示扫描件）。</w:t>
      </w:r>
    </w:p>
    <w:p w14:paraId="369A03D0">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CN"/>
        </w:rPr>
      </w:pPr>
      <w:r>
        <w:rPr>
          <w:rFonts w:hint="eastAsia" w:asciiTheme="minorHAnsi" w:hAnsiTheme="minorHAnsi" w:eastAsiaTheme="minorEastAsia" w:cstheme="minorBidi"/>
          <w:snapToGrid/>
          <w:color w:val="auto"/>
          <w:kern w:val="0"/>
          <w:sz w:val="20"/>
          <w:szCs w:val="20"/>
          <w:lang w:val="en-US" w:eastAsia="zh-CN"/>
        </w:rPr>
        <w:t>9.申请供应商须符合以下要求，并由申请供应商在《党政机关会议定点场所供应商承诺函》中作出声明：</w:t>
      </w:r>
    </w:p>
    <w:p w14:paraId="6F17A139">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CN"/>
        </w:rPr>
      </w:pPr>
      <w:r>
        <w:rPr>
          <w:rFonts w:hint="eastAsia" w:asciiTheme="minorHAnsi" w:hAnsiTheme="minorHAnsi" w:eastAsiaTheme="minorEastAsia" w:cstheme="minorBidi"/>
          <w:snapToGrid/>
          <w:color w:val="auto"/>
          <w:kern w:val="0"/>
          <w:sz w:val="20"/>
          <w:szCs w:val="20"/>
          <w:lang w:val="en-US" w:eastAsia="zh-CN"/>
        </w:rPr>
        <w:t>（1）本项目不接受联合体申请；</w:t>
      </w:r>
    </w:p>
    <w:p w14:paraId="2BA9B14F">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CN"/>
        </w:rPr>
      </w:pPr>
      <w:r>
        <w:rPr>
          <w:rFonts w:hint="eastAsia" w:asciiTheme="minorHAnsi" w:hAnsiTheme="minorHAnsi" w:eastAsiaTheme="minorEastAsia" w:cstheme="minorBidi"/>
          <w:snapToGrid/>
          <w:color w:val="auto"/>
          <w:kern w:val="0"/>
          <w:sz w:val="20"/>
          <w:szCs w:val="20"/>
          <w:lang w:val="en-US" w:eastAsia="zh-CN"/>
        </w:rPr>
        <w:t>（2）参与本项目政府采购活动时不存在被有关部门禁止参与政府采购活动且在有效期内的情况；</w:t>
      </w:r>
    </w:p>
    <w:p w14:paraId="7972F643">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CN"/>
        </w:rPr>
      </w:pPr>
      <w:r>
        <w:rPr>
          <w:rFonts w:hint="eastAsia" w:asciiTheme="minorHAnsi" w:hAnsiTheme="minorHAnsi" w:eastAsiaTheme="minorEastAsia" w:cstheme="minorBidi"/>
          <w:snapToGrid/>
          <w:color w:val="auto"/>
          <w:kern w:val="0"/>
          <w:sz w:val="20"/>
          <w:szCs w:val="20"/>
          <w:lang w:val="en-US" w:eastAsia="zh-CN"/>
        </w:rPr>
        <w:t>（3）具备《中华人民共和国政府采购法》第二十二条第一款的条件；</w:t>
      </w:r>
    </w:p>
    <w:p w14:paraId="26556D20">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CN"/>
        </w:rPr>
      </w:pPr>
      <w:r>
        <w:rPr>
          <w:rFonts w:hint="eastAsia" w:asciiTheme="minorHAnsi" w:hAnsiTheme="minorHAnsi" w:eastAsiaTheme="minorEastAsia" w:cstheme="minorBidi"/>
          <w:snapToGrid/>
          <w:color w:val="auto"/>
          <w:kern w:val="0"/>
          <w:sz w:val="20"/>
          <w:szCs w:val="20"/>
          <w:lang w:val="en-US" w:eastAsia="zh-CN"/>
        </w:rPr>
        <w:t>（4）未被列入失信被执行人、重大税收违法案件当事人名单、政府采购严重违法失信行为记录名单；</w:t>
      </w:r>
    </w:p>
    <w:p w14:paraId="5AF3A2A2">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CN"/>
        </w:rPr>
      </w:pPr>
      <w:r>
        <w:rPr>
          <w:rFonts w:hint="eastAsia" w:asciiTheme="minorHAnsi" w:hAnsiTheme="minorHAnsi" w:eastAsiaTheme="minorEastAsia" w:cstheme="minorBidi"/>
          <w:snapToGrid/>
          <w:color w:val="auto"/>
          <w:kern w:val="0"/>
          <w:sz w:val="20"/>
          <w:szCs w:val="20"/>
          <w:lang w:val="en-US" w:eastAsia="zh-CN"/>
        </w:rPr>
        <w:t>（5）不存在《深圳市财政局政府采购供应商信用信息管理办法》（深财规〔2023〕3号）列明的严重违法失信行为；</w:t>
      </w:r>
    </w:p>
    <w:p w14:paraId="1067872E">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CN"/>
        </w:rPr>
      </w:pPr>
      <w:r>
        <w:rPr>
          <w:rFonts w:hint="eastAsia" w:asciiTheme="minorHAnsi" w:hAnsiTheme="minorHAnsi" w:eastAsiaTheme="minorEastAsia" w:cstheme="minorBidi"/>
          <w:snapToGrid/>
          <w:color w:val="auto"/>
          <w:kern w:val="0"/>
          <w:sz w:val="20"/>
          <w:szCs w:val="20"/>
          <w:lang w:val="en-US" w:eastAsia="zh-CN"/>
        </w:rPr>
        <w:t>（6）为采购项目提供整体设计、规范编制或者项目管理、监理、检测等服务的供应商，不得再参加该采购项目的其他采购活动。</w:t>
      </w:r>
    </w:p>
    <w:p w14:paraId="45D8E215">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CN"/>
        </w:rPr>
      </w:pPr>
      <w:r>
        <w:rPr>
          <w:rFonts w:hint="eastAsia" w:asciiTheme="minorHAnsi" w:hAnsiTheme="minorHAnsi" w:eastAsiaTheme="minorEastAsia" w:cstheme="minorBidi"/>
          <w:snapToGrid/>
          <w:color w:val="auto"/>
          <w:kern w:val="0"/>
          <w:sz w:val="20"/>
          <w:szCs w:val="20"/>
          <w:lang w:val="en-US" w:eastAsia="zh-CN"/>
        </w:rPr>
        <w:t>10.不同供应商的法定代表人、主要经营负责人、项目投标授权代表人、项目负责人、主要技术人员不得为同一人、属同一单位或者在同一单位缴纳社会保险；不同申请供应商的申请文件不得由同一单位或者同一人编制；单位负责人为同一人或者存在直接控股、管理关系的不同供应商，不得参加本项目政府采购活动</w:t>
      </w:r>
      <w:r>
        <w:rPr>
          <w:rFonts w:hint="eastAsia" w:asciiTheme="minorHAnsi" w:hAnsiTheme="minorHAnsi" w:eastAsiaTheme="minorEastAsia" w:cstheme="minorBidi"/>
          <w:snapToGrid/>
          <w:color w:val="auto"/>
          <w:sz w:val="20"/>
          <w:szCs w:val="20"/>
          <w:lang w:eastAsia="zh-CN"/>
        </w:rPr>
        <w:t>。</w:t>
      </w:r>
      <w:r>
        <w:rPr>
          <w:rFonts w:hint="eastAsia" w:asciiTheme="minorHAnsi" w:hAnsiTheme="minorHAnsi" w:eastAsiaTheme="minorEastAsia" w:cstheme="minorBidi"/>
          <w:snapToGrid/>
          <w:color w:val="auto"/>
          <w:kern w:val="0"/>
          <w:sz w:val="20"/>
          <w:szCs w:val="20"/>
          <w:lang w:val="en-US" w:eastAsia="zh-CN"/>
        </w:rPr>
        <w:t>（由供应商填写《供应商基本情况表》相关信息）。</w:t>
      </w:r>
    </w:p>
    <w:p w14:paraId="2A255B0F">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注：</w:t>
      </w:r>
      <w:r>
        <w:rPr>
          <w:rFonts w:hint="eastAsia" w:asciiTheme="minorHAnsi" w:hAnsiTheme="minorHAnsi" w:eastAsiaTheme="minorEastAsia" w:cstheme="minorBidi"/>
          <w:snapToGrid/>
          <w:color w:val="auto"/>
          <w:kern w:val="0"/>
          <w:sz w:val="20"/>
          <w:szCs w:val="20"/>
          <w:lang w:val="en-US" w:eastAsia="zh-CN"/>
        </w:rPr>
        <w:t>“信用中国”（www.creditchina.gov.cn，查询“信用服务”栏的“重大税收违法失信主体”“失信被执行人”或者下载信用信息报告），“中国政府采购网”（www.ccgp.gov.cn）中的“政府采购严重违法失信行为记录名单”，“深圳市政府采购监管网”（http://zfcg.sz.gov.cn）的严重违法失信信息</w:t>
      </w:r>
      <w:r>
        <w:rPr>
          <w:rFonts w:hint="eastAsia" w:asciiTheme="minorHAnsi" w:hAnsiTheme="minorHAnsi" w:eastAsiaTheme="minorEastAsia" w:cstheme="minorBidi"/>
          <w:snapToGrid/>
          <w:color w:val="auto"/>
          <w:sz w:val="20"/>
          <w:szCs w:val="20"/>
          <w:lang w:eastAsia="zh-CN"/>
        </w:rPr>
        <w:t>以及财政部门认可的“供应商诚信档案库</w:t>
      </w:r>
      <w:r>
        <w:rPr>
          <w:rFonts w:hint="eastAsia" w:asciiTheme="minorHAnsi" w:hAnsiTheme="minorHAnsi" w:eastAsiaTheme="minorEastAsia" w:cstheme="minorBidi"/>
          <w:snapToGrid/>
          <w:color w:val="auto"/>
          <w:sz w:val="20"/>
          <w:szCs w:val="20"/>
          <w:lang w:val="en-US" w:eastAsia="zh-CN"/>
        </w:rPr>
        <w:t>”</w:t>
      </w:r>
      <w:r>
        <w:rPr>
          <w:rFonts w:hint="eastAsia" w:asciiTheme="minorHAnsi" w:hAnsiTheme="minorHAnsi" w:eastAsiaTheme="minorEastAsia" w:cstheme="minorBidi"/>
          <w:snapToGrid/>
          <w:color w:val="auto"/>
          <w:kern w:val="0"/>
          <w:sz w:val="20"/>
          <w:szCs w:val="20"/>
          <w:lang w:val="en-US" w:eastAsia="zh-CN"/>
        </w:rPr>
        <w:t>为供应商信用信息的查询渠道，相关信息以征集人审核</w:t>
      </w:r>
      <w:r>
        <w:rPr>
          <w:rFonts w:hint="eastAsia" w:asciiTheme="minorHAnsi" w:hAnsiTheme="minorHAnsi" w:eastAsiaTheme="minorEastAsia" w:cstheme="minorBidi"/>
          <w:snapToGrid/>
          <w:color w:val="auto"/>
          <w:kern w:val="0"/>
          <w:sz w:val="20"/>
          <w:szCs w:val="20"/>
          <w:lang w:val="en-US" w:eastAsia="zh-CN"/>
        </w:rPr>
        <w:t>当日当日的查询结果为准。</w:t>
      </w:r>
    </w:p>
    <w:p w14:paraId="5DE96371">
      <w:pPr>
        <w:pStyle w:val="12"/>
        <w:spacing w:line="360" w:lineRule="auto"/>
        <w:jc w:val="left"/>
        <w:outlineLvl w:val="2"/>
      </w:pPr>
      <w:r>
        <w:rPr>
          <w:b/>
          <w:sz w:val="28"/>
        </w:rPr>
        <w:t>三、征集文件获取时间、方式及地址</w:t>
      </w:r>
    </w:p>
    <w:p w14:paraId="7BB44660">
      <w:pPr>
        <w:pStyle w:val="12"/>
        <w:spacing w:line="360" w:lineRule="auto"/>
        <w:ind w:firstLine="480"/>
        <w:jc w:val="left"/>
      </w:pPr>
      <w:r>
        <w:t>1.征集文件获取时间：详见公告，如有变更详见征集（更正）公告。</w:t>
      </w:r>
    </w:p>
    <w:p w14:paraId="4A5F8344">
      <w:pPr>
        <w:pStyle w:val="12"/>
        <w:spacing w:line="360" w:lineRule="auto"/>
        <w:ind w:firstLine="480"/>
        <w:jc w:val="left"/>
      </w:pPr>
      <w:r>
        <w:t>2.在征集文件获取开始时间前，征集人将本项目征集文件上传至框架协议采购系统，免费向供应商提供。</w:t>
      </w:r>
    </w:p>
    <w:p w14:paraId="45694D3A">
      <w:pPr>
        <w:pStyle w:val="12"/>
        <w:spacing w:line="360" w:lineRule="auto"/>
        <w:ind w:firstLine="480"/>
        <w:jc w:val="left"/>
      </w:pPr>
      <w:r>
        <w:t>成功获取征集文件后，征集人进行澄清或者修改的，澄清或者修改的内容可能影响</w:t>
      </w:r>
      <w:r>
        <w:rPr>
          <w:rFonts w:hint="eastAsia"/>
          <w:lang w:eastAsia="zh-CN"/>
        </w:rPr>
        <w:t>申请文件</w:t>
      </w:r>
      <w:r>
        <w:t>编制的，征集人将通过框架协议采购系统发布澄清或者修改后的征集文件，供应商应当重新获取征集文件。供应商未重新获取征集文件或者未按照澄清或者修改后的征集文件编制</w:t>
      </w:r>
      <w:r>
        <w:rPr>
          <w:rFonts w:hint="eastAsia"/>
          <w:lang w:eastAsia="zh-CN"/>
        </w:rPr>
        <w:t>申请文件</w:t>
      </w:r>
      <w:r>
        <w:t>进行</w:t>
      </w:r>
      <w:r>
        <w:rPr>
          <w:rFonts w:hint="eastAsia" w:asciiTheme="minorHAnsi" w:hAnsiTheme="minorHAnsi" w:eastAsiaTheme="minorEastAsia" w:cstheme="minorBidi"/>
          <w:snapToGrid/>
          <w:color w:val="auto"/>
          <w:kern w:val="0"/>
          <w:sz w:val="20"/>
          <w:szCs w:val="20"/>
          <w:lang w:val="en-US" w:eastAsia="zh-CN"/>
        </w:rPr>
        <w:t>申请</w:t>
      </w:r>
      <w:r>
        <w:t>的，自行承担不利后果。</w:t>
      </w:r>
    </w:p>
    <w:p w14:paraId="4C3AF8F3">
      <w:pPr>
        <w:pStyle w:val="12"/>
        <w:spacing w:line="360" w:lineRule="auto"/>
        <w:ind w:firstLine="480"/>
        <w:jc w:val="left"/>
      </w:pPr>
      <w:r>
        <w:t>获取的征集文件主体格式包括pdf、word两种格式版本，其中以pdf格式为准。</w:t>
      </w:r>
    </w:p>
    <w:p w14:paraId="22E56948">
      <w:pPr>
        <w:pStyle w:val="12"/>
        <w:spacing w:line="360" w:lineRule="auto"/>
        <w:jc w:val="left"/>
        <w:outlineLvl w:val="2"/>
        <w:rPr>
          <w:rFonts w:hint="default" w:eastAsiaTheme="minorEastAsia"/>
          <w:lang w:val="en-US" w:eastAsia="zh-CN"/>
        </w:rPr>
      </w:pPr>
      <w:r>
        <w:rPr>
          <w:b/>
          <w:sz w:val="28"/>
        </w:rPr>
        <w:t>四、</w:t>
      </w:r>
      <w:r>
        <w:rPr>
          <w:rFonts w:hint="eastAsia"/>
          <w:b/>
          <w:sz w:val="28"/>
          <w:lang w:val="en-US" w:eastAsia="zh-CN"/>
        </w:rPr>
        <w:t>供应商提交加入框架协议申请的方式、地点以及对申请文件的要求</w:t>
      </w:r>
    </w:p>
    <w:p w14:paraId="3D9996F3">
      <w:pPr>
        <w:pStyle w:val="12"/>
        <w:spacing w:line="360" w:lineRule="auto"/>
        <w:ind w:firstLine="480"/>
        <w:jc w:val="left"/>
        <w:rPr>
          <w:rFonts w:hint="eastAsia"/>
          <w:lang w:eastAsia="zh-CN"/>
        </w:rPr>
      </w:pPr>
      <w:r>
        <w:t>1.</w:t>
      </w:r>
      <w:r>
        <w:rPr>
          <w:rFonts w:hint="eastAsia"/>
          <w:lang w:eastAsia="zh-CN"/>
        </w:rPr>
        <w:t>申请文件</w:t>
      </w:r>
      <w:r>
        <w:t>提交方式、地</w:t>
      </w:r>
      <w:r>
        <w:rPr>
          <w:rFonts w:hint="eastAsia"/>
          <w:lang w:eastAsia="zh-CN"/>
        </w:rPr>
        <w:t>点：自本项目征集公告发布之日起至2027年12月31日，供应商可以按照征集公告要求，通过框架协议采购系统随时提交申请文件。征集人在收到供应商申请后7个工作日内完成审核，并将审核结果书面通知申请供应商。</w:t>
      </w:r>
    </w:p>
    <w:p w14:paraId="1C7A11BC">
      <w:pPr>
        <w:pStyle w:val="12"/>
        <w:spacing w:line="360" w:lineRule="auto"/>
        <w:ind w:firstLine="480"/>
        <w:jc w:val="left"/>
        <w:rPr>
          <w:rFonts w:hint="eastAsia" w:eastAsiaTheme="minorEastAsia"/>
          <w:lang w:val="en-US" w:eastAsia="zh-CN"/>
        </w:rPr>
      </w:pPr>
      <w:r>
        <w:rPr>
          <w:rFonts w:hint="eastAsia"/>
          <w:lang w:val="en-US" w:eastAsia="zh-CN"/>
        </w:rPr>
        <w:t>2.对申请文件的要求：详见征集公告，如有变更详见征集（更正）公告。</w:t>
      </w:r>
    </w:p>
    <w:p w14:paraId="101B0D3E">
      <w:pPr>
        <w:pStyle w:val="12"/>
        <w:spacing w:line="360" w:lineRule="auto"/>
        <w:jc w:val="left"/>
        <w:outlineLvl w:val="2"/>
      </w:pPr>
      <w:r>
        <w:rPr>
          <w:b/>
          <w:sz w:val="28"/>
        </w:rPr>
        <w:t>五、联系方式</w:t>
      </w:r>
    </w:p>
    <w:p w14:paraId="191F5D94">
      <w:pPr>
        <w:pStyle w:val="12"/>
        <w:spacing w:line="360" w:lineRule="auto"/>
        <w:ind w:firstLine="480"/>
        <w:jc w:val="left"/>
      </w:pPr>
      <w:r>
        <w:t>1.征集人联系方式</w:t>
      </w:r>
    </w:p>
    <w:p w14:paraId="769E5776">
      <w:pPr>
        <w:pStyle w:val="12"/>
        <w:spacing w:line="360" w:lineRule="auto"/>
        <w:ind w:firstLine="480"/>
        <w:jc w:val="left"/>
      </w:pPr>
      <w:r>
        <w:t>征集人名称：深圳公共资源交易中心，具体由深圳公共资源交易中心（深圳交易集团有限公司政府采购业务分公司）组织实施</w:t>
      </w:r>
    </w:p>
    <w:p w14:paraId="33EC2E87">
      <w:pPr>
        <w:pStyle w:val="12"/>
        <w:spacing w:line="360" w:lineRule="auto"/>
        <w:ind w:firstLine="480"/>
        <w:jc w:val="left"/>
      </w:pPr>
      <w:r>
        <w:t>地址：深圳市南山区沙河西路3185号南山智谷A座（深圳交易集团总部大楼）27楼</w:t>
      </w:r>
    </w:p>
    <w:p w14:paraId="159B78C8">
      <w:pPr>
        <w:pStyle w:val="12"/>
        <w:spacing w:line="360" w:lineRule="auto"/>
        <w:jc w:val="left"/>
      </w:pPr>
      <w:r>
        <w:t xml:space="preserve"> </w:t>
      </w:r>
      <w:r>
        <w:rPr>
          <w:rFonts w:hint="eastAsia"/>
          <w:lang w:val="en-US" w:eastAsia="zh-CN"/>
        </w:rPr>
        <w:t xml:space="preserve">    </w:t>
      </w:r>
      <w:r>
        <w:t>联系人：刘工</w:t>
      </w:r>
    </w:p>
    <w:p w14:paraId="45E31A4B">
      <w:pPr>
        <w:pStyle w:val="12"/>
        <w:spacing w:line="360" w:lineRule="auto"/>
        <w:jc w:val="left"/>
      </w:pPr>
      <w:r>
        <w:t xml:space="preserve"> </w:t>
      </w:r>
      <w:r>
        <w:rPr>
          <w:rFonts w:hint="eastAsia"/>
          <w:lang w:val="en-US" w:eastAsia="zh-CN"/>
        </w:rPr>
        <w:t xml:space="preserve">    </w:t>
      </w:r>
      <w:r>
        <w:t>联系电话：0755-86500047</w:t>
      </w:r>
    </w:p>
    <w:p w14:paraId="32A13481">
      <w:pPr>
        <w:pStyle w:val="12"/>
        <w:spacing w:line="360" w:lineRule="auto"/>
        <w:ind w:firstLine="480"/>
        <w:jc w:val="left"/>
      </w:pPr>
      <w:r>
        <w:t>2.技术支持联系方式</w:t>
      </w:r>
    </w:p>
    <w:p w14:paraId="6BD3A045">
      <w:pPr>
        <w:pStyle w:val="12"/>
        <w:spacing w:line="360" w:lineRule="auto"/>
        <w:ind w:firstLine="480"/>
        <w:jc w:val="left"/>
      </w:pPr>
      <w:r>
        <w:t>客服QQ号：2210798634</w:t>
      </w:r>
    </w:p>
    <w:p w14:paraId="08B55208">
      <w:pPr>
        <w:pStyle w:val="12"/>
        <w:spacing w:line="360" w:lineRule="auto"/>
        <w:ind w:firstLine="480"/>
        <w:jc w:val="left"/>
        <w:rPr>
          <w:b/>
          <w:bCs/>
        </w:rPr>
      </w:pPr>
      <w:r>
        <w:rPr>
          <w:rFonts w:hint="eastAsia"/>
          <w:lang w:val="en-US" w:eastAsia="zh-CN"/>
        </w:rPr>
        <w:t>框采</w:t>
      </w:r>
      <w:r>
        <w:t>客服热线：0755-36568999转1再转6</w:t>
      </w:r>
    </w:p>
    <w:p w14:paraId="1FD9E2BE">
      <w:pPr>
        <w:pStyle w:val="12"/>
        <w:jc w:val="left"/>
        <w:rPr>
          <w:b/>
          <w:bCs/>
        </w:rPr>
      </w:pPr>
    </w:p>
    <w:p w14:paraId="146B4F85">
      <w:pPr>
        <w:pStyle w:val="12"/>
        <w:jc w:val="left"/>
        <w:rPr>
          <w:b/>
          <w:bCs/>
        </w:rPr>
      </w:pPr>
    </w:p>
    <w:p w14:paraId="1230D8B0">
      <w:pPr>
        <w:pStyle w:val="12"/>
        <w:jc w:val="left"/>
        <w:rPr>
          <w:rFonts w:hint="eastAsia" w:eastAsiaTheme="minorEastAsia"/>
          <w:lang w:eastAsia="zh-CN"/>
        </w:rPr>
      </w:pPr>
      <w:r>
        <w:rPr>
          <w:b/>
          <w:bCs/>
        </w:rPr>
        <w:t>完整公告内容详见：</w:t>
      </w:r>
      <w:r>
        <w:rPr>
          <w:rFonts w:hint="eastAsia"/>
          <w:b/>
          <w:bCs/>
        </w:rPr>
        <w:t>深圳公共资源交易网（https://www.szggzy.com）</w:t>
      </w:r>
      <w:r>
        <w:rPr>
          <w:rFonts w:hint="eastAsia"/>
          <w:b/>
          <w:bCs/>
          <w:lang w:eastAsia="zh-CN"/>
        </w:rPr>
        <w:t>、</w:t>
      </w:r>
      <w:r>
        <w:rPr>
          <w:rFonts w:hint="eastAsia"/>
          <w:b/>
          <w:bCs/>
          <w:lang w:val="en-US" w:eastAsia="zh-CN"/>
        </w:rPr>
        <w:t>深圳政府采购业务框架协议采购系统</w:t>
      </w:r>
      <w:r>
        <w:rPr>
          <w:rFonts w:hint="eastAsia"/>
          <w:b/>
          <w:bCs/>
          <w:lang w:eastAsia="zh-CN"/>
        </w:rPr>
        <w:t>（https://kjcg.szggzy.com/gpfa-main-web/index?regionguid=2165）</w:t>
      </w:r>
    </w:p>
    <w:p w14:paraId="030ACBAE">
      <w:pPr>
        <w:pStyle w:val="12"/>
      </w:pPr>
      <w:r>
        <w:t xml:space="preserve"> </w:t>
      </w:r>
      <w:r>
        <w:br w:type="textWrapping"/>
      </w:r>
      <w:r>
        <w:br w:type="page"/>
      </w:r>
    </w:p>
    <w:p w14:paraId="5B6F9595">
      <w:pPr>
        <w:pStyle w:val="12"/>
        <w:jc w:val="center"/>
        <w:outlineLvl w:val="1"/>
      </w:pPr>
      <w:r>
        <w:rPr>
          <w:b/>
          <w:sz w:val="36"/>
        </w:rPr>
        <w:t>第二章 征集项目主要内容</w:t>
      </w:r>
    </w:p>
    <w:p w14:paraId="4C4AC167">
      <w:pPr>
        <w:pStyle w:val="12"/>
        <w:jc w:val="left"/>
        <w:outlineLvl w:val="2"/>
      </w:pPr>
      <w:r>
        <w:rPr>
          <w:b/>
          <w:sz w:val="28"/>
        </w:rPr>
        <w:t>一、供应商须知前附表</w:t>
      </w:r>
    </w:p>
    <w:tbl>
      <w:tblPr>
        <w:tblStyle w:val="8"/>
        <w:tblW w:w="873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43"/>
        <w:gridCol w:w="1212"/>
        <w:gridCol w:w="6880"/>
      </w:tblGrid>
      <w:tr w14:paraId="3C22A6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96" w:hRule="atLeast"/>
        </w:trPr>
        <w:tc>
          <w:tcPr>
            <w:tcW w:w="643" w:type="dxa"/>
            <w:vAlign w:val="center"/>
          </w:tcPr>
          <w:p w14:paraId="3281E7E4">
            <w:pPr>
              <w:pStyle w:val="12"/>
              <w:jc w:val="both"/>
            </w:pPr>
            <w:r>
              <w:t>序号</w:t>
            </w:r>
          </w:p>
        </w:tc>
        <w:tc>
          <w:tcPr>
            <w:tcW w:w="1212" w:type="dxa"/>
            <w:vAlign w:val="center"/>
          </w:tcPr>
          <w:p w14:paraId="14E1C82C">
            <w:pPr>
              <w:pStyle w:val="12"/>
              <w:jc w:val="both"/>
            </w:pPr>
            <w:r>
              <w:t>应知事项</w:t>
            </w:r>
          </w:p>
        </w:tc>
        <w:tc>
          <w:tcPr>
            <w:tcW w:w="6880" w:type="dxa"/>
            <w:vAlign w:val="center"/>
          </w:tcPr>
          <w:p w14:paraId="22A9D328">
            <w:pPr>
              <w:pStyle w:val="12"/>
              <w:jc w:val="both"/>
            </w:pPr>
            <w:r>
              <w:t>说明和要求</w:t>
            </w:r>
          </w:p>
        </w:tc>
      </w:tr>
      <w:tr w14:paraId="5104C2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43" w:type="dxa"/>
            <w:vAlign w:val="center"/>
          </w:tcPr>
          <w:p w14:paraId="2AA8A28A">
            <w:pPr>
              <w:pStyle w:val="12"/>
              <w:jc w:val="both"/>
            </w:pPr>
            <w:r>
              <w:t>1</w:t>
            </w:r>
          </w:p>
        </w:tc>
        <w:tc>
          <w:tcPr>
            <w:tcW w:w="1212" w:type="dxa"/>
            <w:vAlign w:val="center"/>
          </w:tcPr>
          <w:p w14:paraId="43F5CB40">
            <w:pPr>
              <w:pStyle w:val="12"/>
              <w:jc w:val="both"/>
            </w:pPr>
            <w:r>
              <w:t>最高限制单价</w:t>
            </w:r>
          </w:p>
        </w:tc>
        <w:tc>
          <w:tcPr>
            <w:tcW w:w="6880" w:type="dxa"/>
            <w:vAlign w:val="center"/>
          </w:tcPr>
          <w:p w14:paraId="3856582C">
            <w:pPr>
              <w:pStyle w:val="12"/>
              <w:jc w:val="both"/>
            </w:pPr>
            <w:r>
              <w:t>本项目各采购包最高限制单价详见第三章描述。</w:t>
            </w:r>
          </w:p>
        </w:tc>
      </w:tr>
      <w:tr w14:paraId="417754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43" w:type="dxa"/>
            <w:vAlign w:val="center"/>
          </w:tcPr>
          <w:p w14:paraId="0B58B856">
            <w:pPr>
              <w:pStyle w:val="12"/>
              <w:jc w:val="both"/>
            </w:pPr>
            <w:r>
              <w:t>2</w:t>
            </w:r>
          </w:p>
        </w:tc>
        <w:tc>
          <w:tcPr>
            <w:tcW w:w="1212" w:type="dxa"/>
            <w:vAlign w:val="center"/>
          </w:tcPr>
          <w:p w14:paraId="200145E9">
            <w:pPr>
              <w:pStyle w:val="12"/>
              <w:jc w:val="both"/>
            </w:pPr>
            <w:r>
              <w:t>框架协议采购分类</w:t>
            </w:r>
          </w:p>
        </w:tc>
        <w:tc>
          <w:tcPr>
            <w:tcW w:w="6880" w:type="dxa"/>
            <w:vAlign w:val="center"/>
          </w:tcPr>
          <w:p w14:paraId="579265F6">
            <w:pPr>
              <w:pStyle w:val="12"/>
              <w:jc w:val="both"/>
            </w:pPr>
            <w:r>
              <w:rPr>
                <w:rFonts w:hint="eastAsia"/>
                <w:lang w:val="en-US" w:eastAsia="zh-CN"/>
              </w:rPr>
              <w:t>开放</w:t>
            </w:r>
            <w:r>
              <w:t>式框架协议采购。</w:t>
            </w:r>
          </w:p>
        </w:tc>
      </w:tr>
      <w:tr w14:paraId="4C86AA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43" w:type="dxa"/>
            <w:vAlign w:val="center"/>
          </w:tcPr>
          <w:p w14:paraId="5B254311">
            <w:pPr>
              <w:pStyle w:val="12"/>
              <w:jc w:val="both"/>
            </w:pPr>
            <w:r>
              <w:t>3</w:t>
            </w:r>
          </w:p>
        </w:tc>
        <w:tc>
          <w:tcPr>
            <w:tcW w:w="1212" w:type="dxa"/>
            <w:vAlign w:val="center"/>
          </w:tcPr>
          <w:p w14:paraId="04853087">
            <w:pPr>
              <w:pStyle w:val="12"/>
              <w:jc w:val="both"/>
            </w:pPr>
            <w:r>
              <w:t>框架协议期限</w:t>
            </w:r>
          </w:p>
        </w:tc>
        <w:tc>
          <w:tcPr>
            <w:tcW w:w="6880" w:type="dxa"/>
            <w:vAlign w:val="center"/>
          </w:tcPr>
          <w:p w14:paraId="6617EB42">
            <w:pPr>
              <w:pStyle w:val="12"/>
              <w:jc w:val="both"/>
              <w:rPr>
                <w:rFonts w:hint="eastAsia"/>
                <w:lang w:val="en-US" w:eastAsia="zh-CN"/>
              </w:rPr>
            </w:pPr>
            <w:r>
              <w:rPr>
                <w:rFonts w:hint="eastAsia"/>
                <w:lang w:val="en-US" w:eastAsia="zh-CN"/>
              </w:rPr>
              <w:t>自主管部门发文之日起2年，如遇政策调整，以新政策为准。</w:t>
            </w:r>
          </w:p>
        </w:tc>
      </w:tr>
      <w:tr w14:paraId="3D1C4D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43" w:type="dxa"/>
            <w:vAlign w:val="center"/>
          </w:tcPr>
          <w:p w14:paraId="44327CBE">
            <w:pPr>
              <w:pStyle w:val="12"/>
              <w:jc w:val="both"/>
            </w:pPr>
            <w:r>
              <w:rPr>
                <w:rFonts w:hint="eastAsia"/>
                <w:lang w:val="en-US" w:eastAsia="zh-CN"/>
              </w:rPr>
              <w:t>4</w:t>
            </w:r>
          </w:p>
        </w:tc>
        <w:tc>
          <w:tcPr>
            <w:tcW w:w="1212" w:type="dxa"/>
            <w:vAlign w:val="center"/>
          </w:tcPr>
          <w:p w14:paraId="3428C93C">
            <w:pPr>
              <w:pStyle w:val="12"/>
              <w:jc w:val="both"/>
            </w:pPr>
            <w:r>
              <w:t>不正当竞争预防措施</w:t>
            </w:r>
          </w:p>
        </w:tc>
        <w:tc>
          <w:tcPr>
            <w:tcW w:w="6880" w:type="dxa"/>
            <w:vAlign w:val="center"/>
          </w:tcPr>
          <w:p w14:paraId="1D8A96F1">
            <w:pPr>
              <w:pStyle w:val="12"/>
              <w:jc w:val="both"/>
              <w:rPr>
                <w:rFonts w:hint="eastAsia"/>
                <w:lang w:val="en-US" w:eastAsia="zh-CN"/>
              </w:rPr>
            </w:pPr>
            <w:r>
              <w:rPr>
                <w:rFonts w:hint="eastAsia"/>
                <w:lang w:val="en-US" w:eastAsia="zh-CN"/>
              </w:rPr>
              <w:t>评审中出现下列情形之一的，征集人应当启动异常低价投标（响应）审查程序：</w:t>
            </w:r>
          </w:p>
          <w:p w14:paraId="402FDFB4">
            <w:pPr>
              <w:pStyle w:val="12"/>
              <w:jc w:val="both"/>
              <w:rPr>
                <w:rFonts w:hint="eastAsia"/>
                <w:lang w:val="en-US" w:eastAsia="zh-CN"/>
              </w:rPr>
            </w:pPr>
            <w:r>
              <w:rPr>
                <w:rFonts w:hint="eastAsia"/>
                <w:lang w:val="en-US" w:eastAsia="zh-CN"/>
              </w:rPr>
              <w:t>1.投标（响应）报价低于全部通过符合性审查供应商投标（响应）报价平均值50%的，即投标（响应）报价&lt;全部通过符合性审查供应商投标（响应）报价平均值×50%；</w:t>
            </w:r>
          </w:p>
          <w:p w14:paraId="2A14567C">
            <w:pPr>
              <w:pStyle w:val="12"/>
              <w:jc w:val="both"/>
              <w:rPr>
                <w:rFonts w:hint="eastAsia"/>
                <w:lang w:val="en-US" w:eastAsia="zh-CN"/>
              </w:rPr>
            </w:pPr>
            <w:r>
              <w:rPr>
                <w:rFonts w:hint="eastAsia"/>
                <w:lang w:val="en-US" w:eastAsia="zh-CN"/>
              </w:rPr>
              <w:t>2.投标（响应）报价低于通过符合性审查的次低报价供应商投标（响应）报价50%的，即投标（响应）报价&lt;通过符合性审查的次低报价供应商投标（响应）报价×50%；</w:t>
            </w:r>
          </w:p>
          <w:p w14:paraId="7A5AB5F1">
            <w:pPr>
              <w:pStyle w:val="12"/>
              <w:jc w:val="both"/>
              <w:rPr>
                <w:rFonts w:hint="eastAsia"/>
                <w:lang w:val="en-US" w:eastAsia="zh-CN"/>
              </w:rPr>
            </w:pPr>
            <w:r>
              <w:rPr>
                <w:rFonts w:hint="eastAsia"/>
                <w:lang w:val="en-US" w:eastAsia="zh-CN"/>
              </w:rPr>
              <w:t>3.投标（响应）报价低于采购项目最高限价45%的，即投标（响应）报价&lt;采购项目最高限价×45%；</w:t>
            </w:r>
          </w:p>
          <w:p w14:paraId="17565DA5">
            <w:pPr>
              <w:pStyle w:val="12"/>
              <w:jc w:val="both"/>
              <w:rPr>
                <w:rFonts w:hint="eastAsia"/>
                <w:lang w:val="en-US" w:eastAsia="zh-CN"/>
              </w:rPr>
            </w:pPr>
            <w:r>
              <w:rPr>
                <w:rFonts w:hint="eastAsia"/>
                <w:lang w:val="en-US" w:eastAsia="zh-CN"/>
              </w:rPr>
              <w:t>4.征集人基于专业判断，认为供应商报价过低，有可能影响产品质量或者不能诚信履约的其他情形。</w:t>
            </w:r>
          </w:p>
          <w:p w14:paraId="6C342A9E">
            <w:pPr>
              <w:pStyle w:val="12"/>
              <w:jc w:val="both"/>
              <w:rPr>
                <w:rFonts w:hint="eastAsia"/>
                <w:lang w:val="en-US" w:eastAsia="zh-CN"/>
              </w:rPr>
            </w:pPr>
            <w:r>
              <w:rPr>
                <w:rFonts w:hint="eastAsia"/>
                <w:lang w:val="en-US" w:eastAsia="zh-CN"/>
              </w:rPr>
              <w:t>征集人启动异常低价投标（响应）审查后，属于前述第1项至第4项情形的，应当要求相关供应商在评审现场合理的时间内对投标（响应）价格作出解释，提供项目具体成本测算等与报价合理性相关的书面说明及必要的证明材料，包括但不限于原材料成本、人工成本、制造费用等，给予相关供应商的合理时间一般不少于30分钟。其中，属于第3项情形，供应商已随投标（响应）文件一并提交相关书面说明及必要的证明材料的，在评审现场可不再重复提交。</w:t>
            </w:r>
          </w:p>
          <w:p w14:paraId="092C64A3">
            <w:pPr>
              <w:pStyle w:val="12"/>
              <w:jc w:val="both"/>
              <w:rPr>
                <w:rFonts w:hint="eastAsia"/>
                <w:lang w:val="en-US" w:eastAsia="zh-CN"/>
              </w:rPr>
            </w:pPr>
            <w:r>
              <w:rPr>
                <w:rFonts w:hint="eastAsia"/>
                <w:lang w:val="en-US" w:eastAsia="zh-CN"/>
              </w:rPr>
              <w:t>征集人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审委员会应当将其作为无效投标（响应）处理。</w:t>
            </w:r>
          </w:p>
        </w:tc>
      </w:tr>
      <w:tr w14:paraId="57139C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43" w:type="dxa"/>
            <w:vAlign w:val="center"/>
          </w:tcPr>
          <w:p w14:paraId="62734D89">
            <w:pPr>
              <w:pStyle w:val="12"/>
              <w:jc w:val="both"/>
            </w:pPr>
            <w:r>
              <w:rPr>
                <w:rFonts w:hint="eastAsia"/>
                <w:lang w:val="en-US" w:eastAsia="zh-CN"/>
              </w:rPr>
              <w:t>5</w:t>
            </w:r>
          </w:p>
        </w:tc>
        <w:tc>
          <w:tcPr>
            <w:tcW w:w="1212" w:type="dxa"/>
            <w:vAlign w:val="center"/>
          </w:tcPr>
          <w:p w14:paraId="34FCDD86">
            <w:pPr>
              <w:pStyle w:val="12"/>
              <w:jc w:val="both"/>
            </w:pPr>
            <w:r>
              <w:t>采购代理机构代理费用的收取标准和方式</w:t>
            </w:r>
          </w:p>
        </w:tc>
        <w:tc>
          <w:tcPr>
            <w:tcW w:w="6880" w:type="dxa"/>
            <w:vAlign w:val="center"/>
          </w:tcPr>
          <w:p w14:paraId="541306EC">
            <w:pPr>
              <w:pStyle w:val="12"/>
              <w:jc w:val="both"/>
              <w:rPr>
                <w:rFonts w:hint="eastAsia" w:eastAsiaTheme="minorEastAsia"/>
                <w:lang w:eastAsia="zh-CN"/>
              </w:rPr>
            </w:pPr>
            <w:r>
              <w:t>本项目不</w:t>
            </w:r>
            <w:r>
              <w:rPr>
                <w:rFonts w:hint="eastAsia"/>
                <w:lang w:val="en-US" w:eastAsia="zh-CN"/>
              </w:rPr>
              <w:t>向入围供应商</w:t>
            </w:r>
            <w:r>
              <w:t>收取代理服务费</w:t>
            </w:r>
            <w:r>
              <w:rPr>
                <w:rFonts w:hint="eastAsia"/>
                <w:lang w:eastAsia="zh-CN"/>
              </w:rPr>
              <w:t>。</w:t>
            </w:r>
          </w:p>
          <w:p w14:paraId="2614B069">
            <w:pPr>
              <w:pStyle w:val="12"/>
              <w:jc w:val="both"/>
            </w:pPr>
            <w:r>
              <w:t>供应商如因参与本项目采购活动产生的相关费用，应自行承担，无论采购活动过程中的做法和结果如何，深圳公共资源交易中心在任何情况下均无义务和责任承担上述费用。</w:t>
            </w:r>
          </w:p>
        </w:tc>
      </w:tr>
      <w:tr w14:paraId="667191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43" w:type="dxa"/>
            <w:vAlign w:val="center"/>
          </w:tcPr>
          <w:p w14:paraId="301FE966">
            <w:pPr>
              <w:pStyle w:val="12"/>
              <w:jc w:val="both"/>
            </w:pPr>
            <w:r>
              <w:rPr>
                <w:rFonts w:hint="eastAsia"/>
                <w:lang w:val="en-US" w:eastAsia="zh-CN"/>
              </w:rPr>
              <w:t>6</w:t>
            </w:r>
          </w:p>
        </w:tc>
        <w:tc>
          <w:tcPr>
            <w:tcW w:w="1212" w:type="dxa"/>
            <w:vAlign w:val="center"/>
          </w:tcPr>
          <w:p w14:paraId="68E3CF6D">
            <w:pPr>
              <w:pStyle w:val="12"/>
              <w:jc w:val="both"/>
            </w:pPr>
            <w:r>
              <w:rPr>
                <w:rFonts w:hint="eastAsia" w:asciiTheme="minorHAnsi" w:hAnsiTheme="minorHAnsi" w:eastAsiaTheme="minorEastAsia" w:cstheme="minorBidi"/>
                <w:snapToGrid/>
                <w:color w:val="auto"/>
                <w:kern w:val="0"/>
                <w:sz w:val="20"/>
                <w:szCs w:val="20"/>
                <w:lang w:val="en-US" w:eastAsia="zh-CN"/>
              </w:rPr>
              <w:t>申请</w:t>
            </w:r>
            <w:r>
              <w:t>有效期</w:t>
            </w:r>
          </w:p>
        </w:tc>
        <w:tc>
          <w:tcPr>
            <w:tcW w:w="6880" w:type="dxa"/>
            <w:vAlign w:val="center"/>
          </w:tcPr>
          <w:p w14:paraId="453B6AB9">
            <w:pPr>
              <w:pStyle w:val="12"/>
              <w:jc w:val="both"/>
            </w:pPr>
            <w:r>
              <w:t>提交</w:t>
            </w:r>
            <w:r>
              <w:rPr>
                <w:rFonts w:hint="eastAsia"/>
                <w:lang w:eastAsia="zh-CN"/>
              </w:rPr>
              <w:t>申请文件</w:t>
            </w:r>
            <w:r>
              <w:t>的截止之日起不少于 90 天。</w:t>
            </w:r>
          </w:p>
        </w:tc>
      </w:tr>
      <w:tr w14:paraId="17C47E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43" w:type="dxa"/>
            <w:vAlign w:val="center"/>
          </w:tcPr>
          <w:p w14:paraId="202F2A3C">
            <w:pPr>
              <w:pStyle w:val="12"/>
              <w:jc w:val="both"/>
            </w:pPr>
            <w:r>
              <w:rPr>
                <w:rFonts w:hint="eastAsia"/>
                <w:lang w:val="en-US" w:eastAsia="zh-CN"/>
              </w:rPr>
              <w:t>7</w:t>
            </w:r>
          </w:p>
        </w:tc>
        <w:tc>
          <w:tcPr>
            <w:tcW w:w="1212" w:type="dxa"/>
            <w:vAlign w:val="center"/>
          </w:tcPr>
          <w:p w14:paraId="3824080B">
            <w:pPr>
              <w:pStyle w:val="12"/>
              <w:jc w:val="both"/>
            </w:pPr>
            <w:r>
              <w:t>结果公告渠道</w:t>
            </w:r>
          </w:p>
        </w:tc>
        <w:tc>
          <w:tcPr>
            <w:tcW w:w="6880" w:type="dxa"/>
            <w:vAlign w:val="center"/>
          </w:tcPr>
          <w:p w14:paraId="1BA09745">
            <w:pPr>
              <w:pStyle w:val="12"/>
              <w:jc w:val="both"/>
            </w:pPr>
            <w:r>
              <w:t>第一阶段发布渠道：深圳政府采购</w:t>
            </w:r>
            <w:r>
              <w:rPr>
                <w:rFonts w:hint="eastAsia"/>
                <w:lang w:val="en-US" w:eastAsia="zh-CN"/>
              </w:rPr>
              <w:t>业务框架协议采购系统、深圳公共资源交易网</w:t>
            </w:r>
            <w:r>
              <w:t>。</w:t>
            </w:r>
          </w:p>
          <w:p w14:paraId="2730345C">
            <w:pPr>
              <w:pStyle w:val="12"/>
              <w:jc w:val="both"/>
            </w:pPr>
            <w:r>
              <w:t>第二阶段发布渠道</w:t>
            </w:r>
            <w:r>
              <w:rPr>
                <w:rFonts w:hint="eastAsia"/>
                <w:lang w:eastAsia="zh-CN"/>
              </w:rPr>
              <w:t>：</w:t>
            </w:r>
            <w:r>
              <w:t>深圳政府采购</w:t>
            </w:r>
            <w:r>
              <w:rPr>
                <w:rFonts w:hint="eastAsia"/>
                <w:lang w:val="en-US" w:eastAsia="zh-CN"/>
              </w:rPr>
              <w:t>业务框架协议采购系统、深圳公共资源交易网</w:t>
            </w:r>
            <w:r>
              <w:t>。</w:t>
            </w:r>
          </w:p>
        </w:tc>
      </w:tr>
      <w:tr w14:paraId="0463D0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43" w:type="dxa"/>
            <w:vAlign w:val="center"/>
          </w:tcPr>
          <w:p w14:paraId="24AE1CC2">
            <w:pPr>
              <w:pStyle w:val="12"/>
              <w:jc w:val="both"/>
              <w:rPr>
                <w:rFonts w:hint="eastAsia" w:eastAsiaTheme="minorEastAsia"/>
                <w:lang w:eastAsia="zh-CN"/>
              </w:rPr>
            </w:pPr>
            <w:r>
              <w:rPr>
                <w:rFonts w:hint="eastAsia"/>
                <w:lang w:val="en-US" w:eastAsia="zh-CN"/>
              </w:rPr>
              <w:t>8</w:t>
            </w:r>
          </w:p>
        </w:tc>
        <w:tc>
          <w:tcPr>
            <w:tcW w:w="1212" w:type="dxa"/>
            <w:vAlign w:val="center"/>
          </w:tcPr>
          <w:p w14:paraId="00B93760">
            <w:pPr>
              <w:pStyle w:val="12"/>
              <w:jc w:val="both"/>
            </w:pPr>
            <w:r>
              <w:rPr>
                <w:rFonts w:hint="eastAsia" w:eastAsiaTheme="minorEastAsia"/>
                <w:lang w:val="en-US" w:eastAsia="zh-CN"/>
              </w:rPr>
              <w:t>适用本项目框架协议的采购人或者服务对象范围</w:t>
            </w:r>
          </w:p>
        </w:tc>
        <w:tc>
          <w:tcPr>
            <w:tcW w:w="6880" w:type="dxa"/>
            <w:vAlign w:val="center"/>
          </w:tcPr>
          <w:p w14:paraId="6FB4DFEB">
            <w:r>
              <w:rPr>
                <w:rFonts w:hint="eastAsia" w:asciiTheme="minorHAnsi" w:hAnsiTheme="minorHAnsi" w:eastAsiaTheme="minorEastAsia" w:cstheme="minorBidi"/>
                <w:snapToGrid/>
                <w:color w:val="auto"/>
                <w:kern w:val="0"/>
                <w:sz w:val="20"/>
                <w:szCs w:val="20"/>
                <w:lang w:val="en-US" w:eastAsia="zh-Hans"/>
              </w:rPr>
              <w:t>党政机关、参照公务员法管理的事业单位、财政核拨经费事业单位、财政核拨补助事业单位、自收自支事业单位、企业化管理事业单位、法定机构等使用财政资金召开会议的单位。</w:t>
            </w:r>
          </w:p>
        </w:tc>
      </w:tr>
      <w:tr w14:paraId="2DD90D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43" w:type="dxa"/>
            <w:vAlign w:val="center"/>
          </w:tcPr>
          <w:p w14:paraId="44BDE280">
            <w:pPr>
              <w:pStyle w:val="12"/>
              <w:jc w:val="both"/>
              <w:rPr>
                <w:rFonts w:hint="default"/>
                <w:lang w:val="en-US" w:eastAsia="zh-CN"/>
              </w:rPr>
            </w:pPr>
            <w:r>
              <w:rPr>
                <w:rFonts w:hint="eastAsia"/>
                <w:lang w:val="en-US" w:eastAsia="zh-CN"/>
              </w:rPr>
              <w:t>9</w:t>
            </w:r>
          </w:p>
        </w:tc>
        <w:tc>
          <w:tcPr>
            <w:tcW w:w="1212" w:type="dxa"/>
            <w:vAlign w:val="center"/>
          </w:tcPr>
          <w:p w14:paraId="399C68B8">
            <w:pPr>
              <w:pStyle w:val="12"/>
              <w:jc w:val="both"/>
            </w:pPr>
            <w:r>
              <w:rPr>
                <w:rFonts w:hint="eastAsia"/>
              </w:rPr>
              <w:t>履行合同的地域范围</w:t>
            </w:r>
          </w:p>
        </w:tc>
        <w:tc>
          <w:tcPr>
            <w:tcW w:w="6880" w:type="dxa"/>
            <w:vAlign w:val="center"/>
          </w:tcPr>
          <w:p w14:paraId="5226AAC6">
            <w:pPr>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深圳市范围内，包括福田区、罗湖区、南山区、盐田区、宝安区、龙岗区、龙华区、坪山区、光明区、大鹏新区、深汕特别合作区。</w:t>
            </w:r>
          </w:p>
        </w:tc>
      </w:tr>
      <w:tr w14:paraId="22AB39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43" w:type="dxa"/>
            <w:vAlign w:val="center"/>
          </w:tcPr>
          <w:p w14:paraId="472A686E">
            <w:pPr>
              <w:pStyle w:val="12"/>
              <w:jc w:val="both"/>
              <w:rPr>
                <w:rFonts w:hint="default" w:eastAsiaTheme="minorEastAsia"/>
                <w:lang w:val="en-US" w:eastAsia="zh-CN"/>
              </w:rPr>
            </w:pPr>
            <w:r>
              <w:rPr>
                <w:rFonts w:hint="eastAsia"/>
                <w:lang w:val="en-US" w:eastAsia="zh-CN"/>
              </w:rPr>
              <w:t>10</w:t>
            </w:r>
          </w:p>
        </w:tc>
        <w:tc>
          <w:tcPr>
            <w:tcW w:w="1212" w:type="dxa"/>
            <w:vAlign w:val="center"/>
          </w:tcPr>
          <w:p w14:paraId="7B652CF4">
            <w:pPr>
              <w:pStyle w:val="12"/>
              <w:jc w:val="both"/>
            </w:pPr>
            <w:r>
              <w:rPr>
                <w:rFonts w:hint="eastAsia"/>
              </w:rPr>
              <w:t>框架协议签订</w:t>
            </w:r>
          </w:p>
        </w:tc>
        <w:tc>
          <w:tcPr>
            <w:tcW w:w="6880" w:type="dxa"/>
            <w:vAlign w:val="center"/>
          </w:tcPr>
          <w:p w14:paraId="18A3E6AB">
            <w:pPr>
              <w:pStyle w:val="6"/>
              <w:keepNext w:val="0"/>
              <w:keepLines w:val="0"/>
              <w:pageBreakBefore w:val="0"/>
              <w:widowControl/>
              <w:shd w:val="clear" w:color="auto" w:fill="FFFFFF"/>
              <w:kinsoku w:val="0"/>
              <w:wordWrap/>
              <w:overflowPunct/>
              <w:topLinePunct w:val="0"/>
              <w:autoSpaceDE w:val="0"/>
              <w:autoSpaceDN w:val="0"/>
              <w:bidi w:val="0"/>
              <w:adjustRightInd w:val="0"/>
              <w:snapToGrid w:val="0"/>
              <w:spacing w:before="0" w:beforeAutospacing="0" w:after="0" w:afterAutospacing="0"/>
              <w:jc w:val="both"/>
              <w:textAlignment w:val="baseline"/>
            </w:pPr>
            <w:r>
              <w:rPr>
                <w:rFonts w:hint="eastAsia" w:asciiTheme="minorHAnsi" w:hAnsiTheme="minorHAnsi" w:eastAsiaTheme="minorEastAsia" w:cstheme="minorBidi"/>
                <w:kern w:val="0"/>
                <w:sz w:val="20"/>
                <w:szCs w:val="20"/>
                <w:lang w:val="en-US" w:eastAsia="zh-CN"/>
              </w:rPr>
              <w:t>本项目</w:t>
            </w:r>
            <w:r>
              <w:rPr>
                <w:rFonts w:hint="eastAsia" w:asciiTheme="minorHAnsi" w:hAnsiTheme="minorHAnsi" w:eastAsiaTheme="minorEastAsia" w:cstheme="minorBidi"/>
                <w:kern w:val="0"/>
                <w:sz w:val="20"/>
                <w:szCs w:val="20"/>
                <w:lang w:val="en-US" w:eastAsia="zh-Hans"/>
              </w:rPr>
              <w:t>不再签订书面框架协议</w:t>
            </w:r>
            <w:r>
              <w:rPr>
                <w:rFonts w:hint="eastAsia" w:asciiTheme="minorHAnsi" w:hAnsiTheme="minorHAnsi" w:eastAsiaTheme="minorEastAsia" w:cstheme="minorBidi"/>
                <w:kern w:val="0"/>
                <w:sz w:val="20"/>
                <w:szCs w:val="20"/>
                <w:lang w:val="en-US" w:eastAsia="zh-CN"/>
              </w:rPr>
              <w:t>，</w:t>
            </w:r>
            <w:r>
              <w:rPr>
                <w:rFonts w:hint="eastAsia" w:asciiTheme="minorHAnsi" w:hAnsiTheme="minorHAnsi" w:eastAsiaTheme="minorEastAsia" w:cstheme="minorBidi"/>
                <w:kern w:val="0"/>
                <w:sz w:val="20"/>
                <w:szCs w:val="20"/>
                <w:lang w:val="en-US" w:eastAsia="zh-Hans"/>
              </w:rPr>
              <w:t>发布入围结果公告，视为签订框架协议。</w:t>
            </w:r>
          </w:p>
        </w:tc>
      </w:tr>
      <w:tr w14:paraId="29215D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43" w:type="dxa"/>
            <w:vAlign w:val="center"/>
          </w:tcPr>
          <w:p w14:paraId="66B0ADDC">
            <w:pPr>
              <w:pStyle w:val="12"/>
              <w:jc w:val="both"/>
            </w:pPr>
            <w:r>
              <w:t>1</w:t>
            </w:r>
            <w:r>
              <w:rPr>
                <w:rFonts w:hint="eastAsia"/>
                <w:lang w:val="en-US" w:eastAsia="zh-CN"/>
              </w:rPr>
              <w:t>1</w:t>
            </w:r>
          </w:p>
        </w:tc>
        <w:tc>
          <w:tcPr>
            <w:tcW w:w="1212" w:type="dxa"/>
            <w:vAlign w:val="center"/>
          </w:tcPr>
          <w:p w14:paraId="3552CBE4">
            <w:pPr>
              <w:pStyle w:val="12"/>
              <w:jc w:val="both"/>
            </w:pPr>
            <w:r>
              <w:t>第二阶段成交供应商的方式</w:t>
            </w:r>
          </w:p>
        </w:tc>
        <w:tc>
          <w:tcPr>
            <w:tcW w:w="6880" w:type="dxa"/>
            <w:vAlign w:val="center"/>
          </w:tcPr>
          <w:p w14:paraId="141A6DA6">
            <w:pPr>
              <w:pStyle w:val="3"/>
              <w:numPr>
                <w:ilvl w:val="0"/>
                <w:numId w:val="0"/>
              </w:numPr>
              <w:contextualSpacing/>
              <w:rPr>
                <w:rFonts w:hint="default"/>
                <w:lang w:val="en-US"/>
              </w:rPr>
            </w:pPr>
            <w:r>
              <w:rPr>
                <w:rFonts w:hint="eastAsia" w:asciiTheme="minorHAnsi" w:hAnsiTheme="minorHAnsi" w:eastAsiaTheme="minorEastAsia" w:cstheme="minorBidi"/>
                <w:sz w:val="20"/>
                <w:szCs w:val="20"/>
                <w:lang w:val="en-US" w:eastAsia="zh-CN"/>
              </w:rPr>
              <w:t>入围供应商入围后须</w:t>
            </w:r>
            <w:r>
              <w:rPr>
                <w:rFonts w:hint="eastAsia" w:asciiTheme="minorHAnsi" w:hAnsiTheme="minorHAnsi" w:eastAsiaTheme="minorEastAsia" w:cstheme="minorBidi"/>
                <w:sz w:val="20"/>
                <w:szCs w:val="20"/>
                <w:lang w:val="en-US" w:eastAsia="zh-Hans"/>
              </w:rPr>
              <w:t>在“党政机关会议定点场所管理系统”登记注册</w:t>
            </w:r>
            <w:r>
              <w:rPr>
                <w:rFonts w:hint="eastAsia" w:asciiTheme="minorHAnsi" w:hAnsiTheme="minorHAnsi" w:eastAsiaTheme="minorEastAsia" w:cstheme="minorBidi"/>
                <w:sz w:val="20"/>
                <w:szCs w:val="20"/>
                <w:lang w:val="en-US" w:eastAsia="zh-CN"/>
              </w:rPr>
              <w:t>，并在框架协议采购系统做好图片、信息维护。由采购人从入围供应商中选择。</w:t>
            </w:r>
          </w:p>
        </w:tc>
      </w:tr>
      <w:tr w14:paraId="0BBB4F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43" w:type="dxa"/>
            <w:vAlign w:val="center"/>
          </w:tcPr>
          <w:p w14:paraId="71955B18">
            <w:pPr>
              <w:pStyle w:val="12"/>
              <w:jc w:val="both"/>
            </w:pPr>
            <w:r>
              <w:t>1</w:t>
            </w:r>
            <w:r>
              <w:rPr>
                <w:rFonts w:hint="eastAsia"/>
                <w:lang w:val="en-US" w:eastAsia="zh-CN"/>
              </w:rPr>
              <w:t>2</w:t>
            </w:r>
          </w:p>
        </w:tc>
        <w:tc>
          <w:tcPr>
            <w:tcW w:w="1212" w:type="dxa"/>
            <w:vAlign w:val="center"/>
          </w:tcPr>
          <w:p w14:paraId="744463DE">
            <w:pPr>
              <w:pStyle w:val="12"/>
              <w:jc w:val="both"/>
            </w:pPr>
            <w:r>
              <w:t>特殊情况</w:t>
            </w:r>
          </w:p>
        </w:tc>
        <w:tc>
          <w:tcPr>
            <w:tcW w:w="6880" w:type="dxa"/>
            <w:vAlign w:val="center"/>
          </w:tcPr>
          <w:p w14:paraId="28D863BD">
            <w:pPr>
              <w:pStyle w:val="12"/>
              <w:jc w:val="both"/>
            </w:pPr>
            <w:r>
              <w:t>出现下列情形之一的，征集人应当中止电子化采购活动，并保留相关证明材料备查：</w:t>
            </w:r>
          </w:p>
          <w:p w14:paraId="2F428938">
            <w:pPr>
              <w:pStyle w:val="12"/>
              <w:jc w:val="both"/>
            </w:pPr>
            <w:r>
              <w:t>（一）交易系统发生故障（包括感染病毒、应用或数据库出错）而无法正常使用的；</w:t>
            </w:r>
          </w:p>
          <w:p w14:paraId="2A5B483A">
            <w:pPr>
              <w:pStyle w:val="12"/>
              <w:jc w:val="both"/>
            </w:pPr>
            <w:r>
              <w:t>（二）因组织场所停电、断网等原因，导致采购活动无法继续通过交易系统实施的；</w:t>
            </w:r>
          </w:p>
          <w:p w14:paraId="1C0D7605">
            <w:pPr>
              <w:pStyle w:val="12"/>
              <w:jc w:val="both"/>
            </w:pPr>
            <w:r>
              <w:t>（三）其他无法保证电子化交易的公平、公正和安全的情况。 出现上述的情形，不影响采购公平、公正的，征集人可以待上述情形消除后继续组织采购活动；影响或者可能影响采购公平、公正的，征集人应当依法废标。</w:t>
            </w:r>
          </w:p>
        </w:tc>
      </w:tr>
      <w:tr w14:paraId="2F9FA3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43" w:type="dxa"/>
            <w:vAlign w:val="center"/>
          </w:tcPr>
          <w:p w14:paraId="186C02D9">
            <w:pPr>
              <w:pStyle w:val="12"/>
              <w:jc w:val="both"/>
            </w:pPr>
            <w:r>
              <w:rPr>
                <w:rFonts w:hint="eastAsia"/>
                <w:lang w:val="en-US" w:eastAsia="zh-CN"/>
              </w:rPr>
              <w:t>13</w:t>
            </w:r>
          </w:p>
        </w:tc>
        <w:tc>
          <w:tcPr>
            <w:tcW w:w="1212" w:type="dxa"/>
            <w:vAlign w:val="center"/>
          </w:tcPr>
          <w:p w14:paraId="57608238">
            <w:pPr>
              <w:pStyle w:val="12"/>
              <w:jc w:val="both"/>
            </w:pPr>
            <w:r>
              <w:t>报价/分值精确度</w:t>
            </w:r>
          </w:p>
        </w:tc>
        <w:tc>
          <w:tcPr>
            <w:tcW w:w="6880" w:type="dxa"/>
            <w:vAlign w:val="center"/>
          </w:tcPr>
          <w:p w14:paraId="69448BE8">
            <w:pPr>
              <w:pStyle w:val="12"/>
              <w:jc w:val="both"/>
            </w:pPr>
            <w:r>
              <w:t>所有数据项默认最多可输入/展示至小数点后2位，超出小数点位的数值采用四舍五入的方式进行精确。</w:t>
            </w:r>
          </w:p>
        </w:tc>
      </w:tr>
      <w:tr w14:paraId="166C86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43" w:type="dxa"/>
            <w:vAlign w:val="center"/>
          </w:tcPr>
          <w:p w14:paraId="3A652B56">
            <w:pPr>
              <w:pStyle w:val="12"/>
              <w:jc w:val="both"/>
              <w:rPr>
                <w:rFonts w:hint="default"/>
                <w:lang w:val="en-US" w:eastAsia="zh-CN"/>
              </w:rPr>
            </w:pPr>
            <w:r>
              <w:rPr>
                <w:rFonts w:hint="eastAsia"/>
                <w:lang w:val="en-US" w:eastAsia="zh-CN"/>
              </w:rPr>
              <w:t>14</w:t>
            </w:r>
          </w:p>
        </w:tc>
        <w:tc>
          <w:tcPr>
            <w:tcW w:w="1212" w:type="dxa"/>
            <w:vAlign w:val="center"/>
          </w:tcPr>
          <w:p w14:paraId="38FF0067">
            <w:pPr>
              <w:pStyle w:val="12"/>
              <w:jc w:val="both"/>
            </w:pPr>
            <w:r>
              <w:rPr>
                <w:rFonts w:hint="eastAsia" w:asciiTheme="minorHAnsi" w:hAnsiTheme="minorHAnsi" w:eastAsiaTheme="minorEastAsia" w:cstheme="minorBidi"/>
                <w:snapToGrid/>
                <w:color w:val="auto"/>
                <w:kern w:val="0"/>
                <w:sz w:val="20"/>
                <w:szCs w:val="20"/>
                <w:lang w:val="en-US" w:eastAsia="zh-CN" w:bidi="ar-SA"/>
              </w:rPr>
              <w:t>采购资金的支付方式、时间和条件</w:t>
            </w:r>
          </w:p>
        </w:tc>
        <w:tc>
          <w:tcPr>
            <w:tcW w:w="6880" w:type="dxa"/>
            <w:vAlign w:val="center"/>
          </w:tcPr>
          <w:p w14:paraId="141A5368">
            <w:pPr>
              <w:pStyle w:val="12"/>
              <w:jc w:val="both"/>
            </w:pPr>
            <w:r>
              <w:rPr>
                <w:rFonts w:hint="eastAsia"/>
                <w:lang w:val="en-US" w:eastAsia="zh-CN"/>
              </w:rPr>
              <w:t>采购人在会议结束后应当及时办理报销手续。会议费报销时须附会议审批文件、会议通知、实际参会人员签到表、定点会议场所等会议服务单位提供的费用原始明细单据以及“党政机关会议定点场所管理系统”中打印的电子结算单等凭证。财务部门要严格按规定审核会议费开支，对未列入年度计划、或无相应审批核准的临时性会议，以及超范围、超标准开支的经费不予报销。</w:t>
            </w:r>
          </w:p>
          <w:p w14:paraId="6C582FA7">
            <w:pPr>
              <w:pStyle w:val="12"/>
              <w:jc w:val="both"/>
            </w:pPr>
            <w:r>
              <w:rPr>
                <w:lang w:val="en-US" w:eastAsia="zh-CN"/>
              </w:rPr>
              <w:t>会议费在部门预算公用经费或专项经费中列支，由召</w:t>
            </w:r>
            <w:r>
              <w:rPr>
                <w:rFonts w:hint="eastAsia"/>
                <w:lang w:val="en-US" w:eastAsia="zh-CN"/>
              </w:rPr>
              <w:t>开会议单位承担，不得向参会人员收取，不得以任何方式转嫁或摊派。会议费支付严格执行国库集中支付和公务卡使用管理规定，以银行转账或使用公务卡结算。具备条件的，会议费应由单位财务部门直接结算。</w:t>
            </w:r>
          </w:p>
        </w:tc>
      </w:tr>
    </w:tbl>
    <w:p w14:paraId="72E001D0">
      <w:pPr>
        <w:pStyle w:val="12"/>
        <w:jc w:val="left"/>
        <w:outlineLvl w:val="2"/>
      </w:pPr>
      <w:r>
        <w:rPr>
          <w:b/>
          <w:sz w:val="28"/>
        </w:rPr>
        <w:t>二、确定入围供应商</w:t>
      </w:r>
    </w:p>
    <w:p w14:paraId="2ADF102B">
      <w:pPr>
        <w:pStyle w:val="12"/>
        <w:ind w:firstLine="480"/>
        <w:jc w:val="both"/>
      </w:pPr>
      <w:r>
        <w:t>1.征集人确定入围供应商后，在深圳政府采购</w:t>
      </w:r>
      <w:r>
        <w:rPr>
          <w:rFonts w:hint="eastAsia"/>
          <w:lang w:val="en-US" w:eastAsia="zh-CN"/>
        </w:rPr>
        <w:t>业务框架协议采购系统</w:t>
      </w:r>
      <w:r>
        <w:t>发布入围结果公告。</w:t>
      </w:r>
    </w:p>
    <w:p w14:paraId="434E2968">
      <w:pPr>
        <w:pStyle w:val="12"/>
        <w:ind w:firstLine="480"/>
        <w:jc w:val="both"/>
      </w:pPr>
      <w:r>
        <w:t>2.入围通知书是征集人和入围供应商签订框架协议的依据，是框架协议的有效组成部分。如果出现政府采购法律法规、规章制度规定的入围无效情形的，将以公告形式宣布发出的入围通知书无效，入围通知书将自动失效。</w:t>
      </w:r>
    </w:p>
    <w:p w14:paraId="4517D230">
      <w:pPr>
        <w:pStyle w:val="12"/>
        <w:ind w:firstLine="480"/>
        <w:jc w:val="both"/>
      </w:pPr>
      <w:r>
        <w:t>3.入围通知书对征集人和入围供应商均具有法律效力。</w:t>
      </w:r>
    </w:p>
    <w:p w14:paraId="45B28E0D">
      <w:pPr>
        <w:pStyle w:val="12"/>
        <w:jc w:val="left"/>
        <w:outlineLvl w:val="2"/>
      </w:pPr>
      <w:r>
        <w:rPr>
          <w:b/>
          <w:sz w:val="28"/>
        </w:rPr>
        <w:t>三、用户反馈和评价机制</w:t>
      </w:r>
    </w:p>
    <w:p w14:paraId="4330E50E">
      <w:pPr>
        <w:pStyle w:val="12"/>
        <w:ind w:firstLine="480"/>
        <w:jc w:val="both"/>
      </w:pPr>
      <w:r>
        <w:t>采购人将对入围供应商履行框架协议和采购合同情况进行反馈与评价，反馈和评价情况将向采购人公开，作为第二阶段直接选定成交供应商的参考。</w:t>
      </w:r>
    </w:p>
    <w:p w14:paraId="4B9412A9">
      <w:pPr>
        <w:pStyle w:val="12"/>
        <w:ind w:firstLine="480"/>
        <w:jc w:val="both"/>
      </w:pPr>
      <w:r>
        <w:t>征集人根据《政府采购框架协议采购方式管理暂行办法》规定，结合项目实际，建立对入围供应商的评价反馈制度。</w:t>
      </w:r>
    </w:p>
    <w:p w14:paraId="3E613736">
      <w:pPr>
        <w:pStyle w:val="12"/>
        <w:jc w:val="left"/>
        <w:outlineLvl w:val="2"/>
      </w:pPr>
      <w:r>
        <w:rPr>
          <w:b/>
          <w:sz w:val="28"/>
        </w:rPr>
        <w:t>四、入围供应商的清退</w:t>
      </w:r>
      <w:r>
        <w:rPr>
          <w:rFonts w:hint="eastAsia"/>
          <w:b/>
          <w:sz w:val="28"/>
          <w:lang w:val="en-US" w:eastAsia="zh-CN"/>
        </w:rPr>
        <w:t>规则和补充</w:t>
      </w:r>
      <w:r>
        <w:rPr>
          <w:b/>
          <w:sz w:val="28"/>
        </w:rPr>
        <w:t>规则</w:t>
      </w:r>
    </w:p>
    <w:p w14:paraId="03E97F34">
      <w:pPr>
        <w:pStyle w:val="12"/>
        <w:ind w:firstLine="480"/>
        <w:jc w:val="both"/>
      </w:pPr>
      <w:r>
        <w:t>入围供应商有下列情形之一，尚未签订框架协议的，取消其入围资格；已经签订框架协议的，解除与其签订的框架协议：</w:t>
      </w:r>
    </w:p>
    <w:p w14:paraId="2B588789">
      <w:pPr>
        <w:pStyle w:val="12"/>
        <w:ind w:firstLine="480"/>
        <w:jc w:val="both"/>
      </w:pPr>
      <w:r>
        <w:t>1.恶意串通谋取入围或者合同成交的；</w:t>
      </w:r>
    </w:p>
    <w:p w14:paraId="1829598A">
      <w:pPr>
        <w:pStyle w:val="12"/>
        <w:ind w:firstLine="480"/>
        <w:jc w:val="both"/>
      </w:pPr>
      <w:r>
        <w:t>2.提供虚假材料谋取入围或者合同成交的；</w:t>
      </w:r>
    </w:p>
    <w:p w14:paraId="1ED38601">
      <w:pPr>
        <w:pStyle w:val="12"/>
        <w:ind w:firstLine="480"/>
        <w:jc w:val="both"/>
      </w:pPr>
      <w:r>
        <w:t>3.无正当理由拒不接受合同授予的；</w:t>
      </w:r>
    </w:p>
    <w:p w14:paraId="5CFBFD18">
      <w:pPr>
        <w:pStyle w:val="12"/>
        <w:ind w:firstLine="480"/>
        <w:jc w:val="both"/>
      </w:pPr>
      <w:r>
        <w:t>4.不履行合同义务或者履行合同义务不符合约定，经采购人请求履行后仍不履行或者仍未按约定履行的；</w:t>
      </w:r>
    </w:p>
    <w:p w14:paraId="1D10C4BC">
      <w:pPr>
        <w:pStyle w:val="12"/>
        <w:ind w:firstLine="480"/>
        <w:jc w:val="both"/>
      </w:pPr>
      <w:r>
        <w:t>5.框架协议有效期内，因违法行为被禁止或限制参加政府采购活动的；</w:t>
      </w:r>
    </w:p>
    <w:p w14:paraId="7E23EE09">
      <w:pPr>
        <w:pStyle w:val="12"/>
        <w:ind w:firstLine="480"/>
        <w:jc w:val="both"/>
      </w:pPr>
      <w:r>
        <w:t>6.框架协议约定的其他情形。</w:t>
      </w:r>
    </w:p>
    <w:p w14:paraId="47E8BE18">
      <w:pPr>
        <w:pStyle w:val="12"/>
        <w:ind w:firstLine="480"/>
        <w:jc w:val="both"/>
        <w:rPr>
          <w:rFonts w:hint="eastAsia"/>
        </w:rPr>
      </w:pPr>
      <w:r>
        <w:t>被取消入围资格或者被解除框架协议的供应商不得</w:t>
      </w:r>
      <w:r>
        <w:rPr>
          <w:rFonts w:hint="eastAsia"/>
        </w:rPr>
        <w:t>重新申请加入同一开放式框架协议。</w:t>
      </w:r>
    </w:p>
    <w:p w14:paraId="2715A9C2">
      <w:pPr>
        <w:pStyle w:val="12"/>
        <w:ind w:firstLine="480"/>
        <w:jc w:val="both"/>
        <w:rPr>
          <w:rFonts w:hint="eastAsia"/>
        </w:rPr>
      </w:pPr>
      <w:r>
        <w:rPr>
          <w:rFonts w:hint="eastAsia"/>
        </w:rPr>
        <w:t>开放式框架协议入围供应商可以随时申请退出框架协议。集中采购机构或者主管预算单位应当在收到退出申请2个工作日内，发布入围供应商退出公告。</w:t>
      </w:r>
    </w:p>
    <w:p w14:paraId="1CA65716">
      <w:pPr>
        <w:pStyle w:val="12"/>
        <w:ind w:firstLine="480"/>
        <w:jc w:val="both"/>
        <w:rPr>
          <w:rFonts w:hint="eastAsia"/>
        </w:rPr>
      </w:pPr>
      <w:r>
        <w:rPr>
          <w:rFonts w:hint="eastAsia"/>
          <w:lang w:val="en-US" w:eastAsia="zh-CN"/>
        </w:rPr>
        <w:t>补充规则：无。</w:t>
      </w:r>
    </w:p>
    <w:p w14:paraId="07A4174E">
      <w:pPr>
        <w:pStyle w:val="12"/>
        <w:jc w:val="left"/>
        <w:outlineLvl w:val="2"/>
      </w:pPr>
      <w:r>
        <w:rPr>
          <w:b/>
          <w:sz w:val="28"/>
        </w:rPr>
        <w:t>五、供应商信用信息</w:t>
      </w:r>
    </w:p>
    <w:p w14:paraId="012AA84D">
      <w:pPr>
        <w:pStyle w:val="12"/>
        <w:ind w:firstLine="480"/>
        <w:jc w:val="left"/>
      </w:pPr>
      <w:r>
        <w:t>（一）供应商信用信息查询渠道及截止时点</w:t>
      </w:r>
    </w:p>
    <w:p w14:paraId="6D9EA0AB">
      <w:pPr>
        <w:pStyle w:val="12"/>
        <w:ind w:firstLine="480"/>
        <w:jc w:val="left"/>
        <w:rPr>
          <w:color w:val="auto"/>
          <w:lang w:eastAsia="zh-CN"/>
        </w:rPr>
      </w:pPr>
      <w:r>
        <w:rPr>
          <w:rFonts w:asciiTheme="minorHAnsi" w:hAnsiTheme="minorHAnsi" w:eastAsiaTheme="minorEastAsia" w:cstheme="minorBidi"/>
          <w:color w:val="auto"/>
          <w:lang w:eastAsia="zh-CN"/>
        </w:rPr>
        <w:t>具体包括</w:t>
      </w:r>
      <w:r>
        <w:rPr>
          <w:rFonts w:hint="eastAsia" w:asciiTheme="minorHAnsi" w:hAnsiTheme="minorHAnsi" w:eastAsiaTheme="minorEastAsia" w:cstheme="minorBidi"/>
          <w:snapToGrid/>
          <w:color w:val="auto"/>
          <w:kern w:val="0"/>
          <w:sz w:val="20"/>
          <w:szCs w:val="20"/>
          <w:lang w:val="en-US" w:eastAsia="zh-CN"/>
        </w:rPr>
        <w:t>“信用中国”（www.creditchina.gov.cn，查询“信用服务”栏的“重大税收违法失信主体”“失信被执行人”或者下载信用信息报告），“中国政府采购网”（www.ccgp.gov.cn）中的“政府采购严重违法失信行为记录名单”，“深圳市政府采购监管网”（http://zfcg.sz.gov.cn）的严重违法失信信息</w:t>
      </w:r>
      <w:r>
        <w:rPr>
          <w:rFonts w:hint="eastAsia" w:asciiTheme="minorHAnsi" w:hAnsiTheme="minorHAnsi" w:eastAsiaTheme="minorEastAsia" w:cstheme="minorBidi"/>
          <w:snapToGrid/>
          <w:color w:val="auto"/>
          <w:sz w:val="20"/>
          <w:szCs w:val="20"/>
          <w:lang w:eastAsia="zh-CN"/>
        </w:rPr>
        <w:t>以及财政部门认可的“供应商诚信档案库</w:t>
      </w:r>
      <w:r>
        <w:rPr>
          <w:rFonts w:hint="eastAsia" w:asciiTheme="minorHAnsi" w:hAnsiTheme="minorHAnsi" w:eastAsiaTheme="minorEastAsia" w:cstheme="minorBidi"/>
          <w:snapToGrid/>
          <w:color w:val="auto"/>
          <w:sz w:val="20"/>
          <w:szCs w:val="20"/>
          <w:lang w:val="en-US" w:eastAsia="zh-CN"/>
        </w:rPr>
        <w:t>”</w:t>
      </w:r>
      <w:r>
        <w:rPr>
          <w:rFonts w:hint="eastAsia" w:asciiTheme="minorHAnsi" w:hAnsiTheme="minorHAnsi" w:eastAsiaTheme="minorEastAsia" w:cstheme="minorBidi"/>
          <w:snapToGrid/>
          <w:color w:val="auto"/>
          <w:kern w:val="0"/>
          <w:sz w:val="20"/>
          <w:szCs w:val="20"/>
          <w:lang w:val="en-US" w:eastAsia="zh-CN"/>
        </w:rPr>
        <w:t>为供应商信用信息的查询渠道，相关信息以</w:t>
      </w:r>
      <w:r>
        <w:rPr>
          <w:rFonts w:hint="eastAsia"/>
          <w:color w:val="auto"/>
          <w:lang w:val="en-US" w:eastAsia="zh-CN"/>
        </w:rPr>
        <w:t>征集人</w:t>
      </w:r>
      <w:r>
        <w:rPr>
          <w:rFonts w:hint="eastAsia"/>
          <w:color w:val="auto"/>
          <w:lang w:eastAsia="zh-CN"/>
        </w:rPr>
        <w:t>审核</w:t>
      </w:r>
      <w:r>
        <w:rPr>
          <w:rFonts w:hint="eastAsia" w:asciiTheme="minorHAnsi" w:hAnsiTheme="minorHAnsi" w:eastAsiaTheme="minorEastAsia" w:cstheme="minorBidi"/>
          <w:snapToGrid/>
          <w:color w:val="auto"/>
          <w:kern w:val="0"/>
          <w:sz w:val="20"/>
          <w:szCs w:val="20"/>
          <w:lang w:val="en-US" w:eastAsia="zh-CN"/>
        </w:rPr>
        <w:t>当日的查询结果为准。</w:t>
      </w:r>
    </w:p>
    <w:p w14:paraId="3E0888FB">
      <w:pPr>
        <w:pStyle w:val="12"/>
        <w:ind w:firstLine="480"/>
        <w:jc w:val="left"/>
      </w:pPr>
      <w:r>
        <w:t>（二）信用信息查询记录和证据留存的具体方式</w:t>
      </w:r>
    </w:p>
    <w:p w14:paraId="22AF128F">
      <w:pPr>
        <w:pStyle w:val="12"/>
        <w:ind w:firstLine="480"/>
        <w:jc w:val="left"/>
        <w:rPr>
          <w:rFonts w:hint="eastAsia" w:eastAsiaTheme="minorEastAsia"/>
          <w:lang w:eastAsia="zh-CN"/>
        </w:rPr>
      </w:pPr>
      <w:r>
        <w:t>查询结果将以</w:t>
      </w:r>
      <w:r>
        <w:rPr>
          <w:rFonts w:hint="eastAsia"/>
          <w:lang w:val="en-US" w:eastAsia="zh-CN"/>
        </w:rPr>
        <w:t>网页截图电子版</w:t>
      </w:r>
      <w:r>
        <w:t>形式留存并归档</w:t>
      </w:r>
      <w:r>
        <w:rPr>
          <w:rFonts w:hint="eastAsia"/>
          <w:lang w:eastAsia="zh-CN"/>
        </w:rPr>
        <w:t>。</w:t>
      </w:r>
    </w:p>
    <w:p w14:paraId="64B075B8">
      <w:pPr>
        <w:pStyle w:val="12"/>
        <w:ind w:firstLine="480"/>
        <w:jc w:val="left"/>
      </w:pPr>
      <w:r>
        <w:t>（三）信用信息的使用规则</w:t>
      </w:r>
    </w:p>
    <w:p w14:paraId="3671D2FE">
      <w:pPr>
        <w:pStyle w:val="12"/>
        <w:ind w:firstLine="480"/>
        <w:jc w:val="left"/>
      </w:pPr>
      <w:r>
        <w:t>在进行资格审查时，查询供应商的信用记录，查询供应商是否具备参加本次采购活动的资格。</w:t>
      </w:r>
    </w:p>
    <w:p w14:paraId="3CEE3E7F">
      <w:pPr>
        <w:pStyle w:val="3"/>
        <w:contextualSpacing/>
        <w:rPr>
          <w:rFonts w:hint="eastAsia" w:asciiTheme="minorHAnsi" w:hAnsiTheme="minorHAnsi" w:eastAsiaTheme="minorEastAsia" w:cstheme="minorBidi"/>
          <w:b/>
          <w:sz w:val="28"/>
          <w:szCs w:val="20"/>
          <w:lang w:val="en-US" w:eastAsia="zh-CN"/>
        </w:rPr>
      </w:pPr>
      <w:r>
        <w:rPr>
          <w:rFonts w:hint="eastAsia" w:asciiTheme="minorHAnsi" w:hAnsiTheme="minorHAnsi" w:eastAsiaTheme="minorEastAsia" w:cstheme="minorBidi"/>
          <w:b/>
          <w:sz w:val="28"/>
          <w:szCs w:val="20"/>
          <w:lang w:val="en-US" w:eastAsia="zh-CN"/>
        </w:rPr>
        <w:t>六、协议方的权利和义务</w:t>
      </w:r>
    </w:p>
    <w:p w14:paraId="14BA821A">
      <w:pPr>
        <w:pStyle w:val="12"/>
        <w:ind w:firstLine="480"/>
        <w:jc w:val="left"/>
        <w:rPr>
          <w:rFonts w:hint="eastAsia"/>
          <w:lang w:val="en-US" w:eastAsia="zh-CN"/>
        </w:rPr>
      </w:pPr>
      <w:r>
        <w:rPr>
          <w:rFonts w:hint="eastAsia"/>
          <w:lang w:val="en-US" w:eastAsia="zh-CN"/>
        </w:rPr>
        <w:t>（一）征集人的权利和义务</w:t>
      </w:r>
    </w:p>
    <w:p w14:paraId="690A288A">
      <w:pPr>
        <w:pStyle w:val="12"/>
        <w:ind w:firstLine="480"/>
        <w:jc w:val="left"/>
        <w:rPr>
          <w:rFonts w:hint="eastAsia"/>
          <w:lang w:val="en-US" w:eastAsia="zh-CN"/>
        </w:rPr>
      </w:pPr>
      <w:r>
        <w:rPr>
          <w:rFonts w:hint="eastAsia"/>
          <w:lang w:val="en-US" w:eastAsia="zh-CN"/>
        </w:rPr>
        <w:t>1.对供应商承诺的服务和实际提供的服务以及相关事项进行监督检查。</w:t>
      </w:r>
    </w:p>
    <w:p w14:paraId="3484B61C">
      <w:pPr>
        <w:pStyle w:val="12"/>
        <w:ind w:firstLine="480"/>
        <w:jc w:val="left"/>
        <w:rPr>
          <w:rFonts w:hint="eastAsia"/>
          <w:lang w:val="en-US" w:eastAsia="zh-CN"/>
        </w:rPr>
      </w:pPr>
      <w:r>
        <w:rPr>
          <w:rFonts w:hint="eastAsia"/>
          <w:lang w:val="en-US" w:eastAsia="zh-CN"/>
        </w:rPr>
        <w:t>2.对供应商承诺的协议价格执行情况进行监督检查。</w:t>
      </w:r>
    </w:p>
    <w:p w14:paraId="3710F656">
      <w:pPr>
        <w:pStyle w:val="12"/>
        <w:ind w:firstLine="480"/>
        <w:jc w:val="left"/>
        <w:rPr>
          <w:rFonts w:hint="eastAsia"/>
          <w:lang w:val="en-US" w:eastAsia="zh-CN"/>
        </w:rPr>
      </w:pPr>
      <w:r>
        <w:rPr>
          <w:rFonts w:hint="eastAsia"/>
          <w:lang w:val="en-US" w:eastAsia="zh-CN"/>
        </w:rPr>
        <w:t>3.有权要求供应商对不符合协议的行为进行调整，如采购人或服务对象对供应商无正当理由拒绝提供承诺的服务和价格或提供的服务质量问题向征集人投诉，征集人接到投诉后报财政部门进行核查，如情况属实可要求供应商及时纠正或根据协议要求取消供应商的会议定点资格。</w:t>
      </w:r>
    </w:p>
    <w:p w14:paraId="56F22F32">
      <w:pPr>
        <w:pStyle w:val="12"/>
        <w:ind w:firstLine="480"/>
        <w:jc w:val="left"/>
        <w:rPr>
          <w:rFonts w:hint="eastAsia"/>
          <w:lang w:val="en-US" w:eastAsia="zh-CN"/>
        </w:rPr>
      </w:pPr>
      <w:r>
        <w:rPr>
          <w:rFonts w:hint="eastAsia"/>
          <w:lang w:val="en-US" w:eastAsia="zh-CN"/>
        </w:rPr>
        <w:t>4.公布供应商的名称、地理位置、场地展示、联系方式及协议价格等信息。</w:t>
      </w:r>
    </w:p>
    <w:p w14:paraId="61C5091C">
      <w:pPr>
        <w:pStyle w:val="12"/>
        <w:ind w:firstLine="480"/>
        <w:jc w:val="left"/>
        <w:rPr>
          <w:rFonts w:hint="eastAsia"/>
          <w:lang w:val="en-US" w:eastAsia="zh-CN"/>
        </w:rPr>
      </w:pPr>
      <w:r>
        <w:rPr>
          <w:rFonts w:hint="eastAsia"/>
          <w:lang w:val="en-US" w:eastAsia="zh-CN"/>
        </w:rPr>
        <w:t>（二）供应商的权利和义务</w:t>
      </w:r>
    </w:p>
    <w:p w14:paraId="287E7E68">
      <w:pPr>
        <w:pStyle w:val="12"/>
        <w:ind w:firstLine="480"/>
        <w:jc w:val="left"/>
        <w:rPr>
          <w:rFonts w:hint="eastAsia"/>
          <w:lang w:val="en-US" w:eastAsia="zh-CN"/>
        </w:rPr>
      </w:pPr>
      <w:r>
        <w:rPr>
          <w:rFonts w:hint="eastAsia"/>
          <w:lang w:val="en-US" w:eastAsia="zh-CN"/>
        </w:rPr>
        <w:t>1.会议举办单位不能出示有效证明，证明其属于协议服务范围的，供应商有权拒绝向其提供协议价格的服务。</w:t>
      </w:r>
    </w:p>
    <w:p w14:paraId="64D65A0C">
      <w:pPr>
        <w:pStyle w:val="12"/>
        <w:ind w:firstLine="480"/>
        <w:jc w:val="left"/>
        <w:rPr>
          <w:rFonts w:hint="eastAsia"/>
          <w:lang w:val="en-US" w:eastAsia="zh-CN"/>
        </w:rPr>
      </w:pPr>
      <w:r>
        <w:rPr>
          <w:rFonts w:hint="eastAsia"/>
          <w:lang w:val="en-US" w:eastAsia="zh-CN"/>
        </w:rPr>
        <w:t>2.会议举办单位要求虚开发票、提取现金、开支等与会议无关费用的，供应商有权拒绝。</w:t>
      </w:r>
    </w:p>
    <w:p w14:paraId="2D55FBC9">
      <w:pPr>
        <w:pStyle w:val="12"/>
        <w:ind w:firstLine="480"/>
        <w:jc w:val="left"/>
        <w:rPr>
          <w:rFonts w:hint="eastAsia"/>
          <w:lang w:val="en-US" w:eastAsia="zh-CN"/>
        </w:rPr>
      </w:pPr>
      <w:r>
        <w:rPr>
          <w:rFonts w:hint="eastAsia"/>
          <w:lang w:val="en-US" w:eastAsia="zh-CN"/>
        </w:rPr>
        <w:t>3.供应商应按征集文件的要求，提供本协议规定的会议接待服务。</w:t>
      </w:r>
    </w:p>
    <w:p w14:paraId="08434FE8">
      <w:pPr>
        <w:pStyle w:val="12"/>
        <w:ind w:firstLine="480"/>
        <w:jc w:val="left"/>
        <w:rPr>
          <w:rFonts w:hint="eastAsia"/>
          <w:lang w:val="en-US" w:eastAsia="zh-CN"/>
        </w:rPr>
      </w:pPr>
      <w:r>
        <w:rPr>
          <w:rFonts w:hint="eastAsia"/>
          <w:lang w:val="en-US" w:eastAsia="zh-CN"/>
        </w:rPr>
        <w:t>在协议期内，供应商必须持有和确保下列证照处于合法有效期内：营业执照、客房、餐饮卫生许可证、特种行业许可证、消防安全检查合格证、锅炉、电梯（未安装使用的除外）安全检查合格证明。</w:t>
      </w:r>
    </w:p>
    <w:p w14:paraId="3764240B">
      <w:pPr>
        <w:pStyle w:val="12"/>
        <w:ind w:firstLine="480"/>
        <w:jc w:val="left"/>
        <w:rPr>
          <w:rFonts w:hint="eastAsia"/>
          <w:lang w:val="en-US" w:eastAsia="zh-CN"/>
        </w:rPr>
      </w:pPr>
      <w:r>
        <w:rPr>
          <w:rFonts w:hint="eastAsia"/>
          <w:lang w:val="en-US" w:eastAsia="zh-CN"/>
        </w:rPr>
        <w:t>4.在协议期内，供应商要按照本协议的规定，接待党政机关举办会议，并执行协议价格。</w:t>
      </w:r>
    </w:p>
    <w:p w14:paraId="2273D37C">
      <w:pPr>
        <w:pStyle w:val="12"/>
        <w:ind w:firstLine="480"/>
        <w:jc w:val="left"/>
        <w:rPr>
          <w:rFonts w:hint="eastAsia"/>
          <w:lang w:val="en-US" w:eastAsia="zh-CN"/>
        </w:rPr>
      </w:pPr>
      <w:r>
        <w:rPr>
          <w:rFonts w:hint="eastAsia"/>
          <w:lang w:val="en-US" w:eastAsia="zh-CN"/>
        </w:rPr>
        <w:t>协议有效期内，供应商应保持各项设备、设施完好，具备履行协议的能力；如供应商设备、设施发生足以影响接待能力的重大变化，应在变化发生3日内书面通知征集人，征集人根据实际情况决定是否继续履行协议。</w:t>
      </w:r>
    </w:p>
    <w:p w14:paraId="29794735">
      <w:pPr>
        <w:pStyle w:val="12"/>
        <w:ind w:firstLine="480"/>
        <w:jc w:val="left"/>
        <w:rPr>
          <w:rFonts w:hint="eastAsia"/>
          <w:lang w:val="en-US" w:eastAsia="zh-CN"/>
        </w:rPr>
      </w:pPr>
      <w:r>
        <w:rPr>
          <w:rFonts w:hint="eastAsia"/>
          <w:lang w:val="en-US" w:eastAsia="zh-CN"/>
        </w:rPr>
        <w:t>5.供应商的设施设备、清洁卫生、服务质量等要符合国家规定标准，不得因价格优惠而减少服务项目、降低服务质量。</w:t>
      </w:r>
    </w:p>
    <w:p w14:paraId="2B37EEE4">
      <w:pPr>
        <w:pStyle w:val="12"/>
        <w:ind w:firstLine="480"/>
        <w:jc w:val="left"/>
        <w:rPr>
          <w:rFonts w:hint="eastAsia"/>
          <w:lang w:val="en-US" w:eastAsia="zh-CN"/>
        </w:rPr>
      </w:pPr>
      <w:r>
        <w:rPr>
          <w:rFonts w:hint="eastAsia"/>
          <w:lang w:val="en-US" w:eastAsia="zh-CN"/>
        </w:rPr>
        <w:t>6.供应商应向采购人或服务对象提供协议价格，并承诺提供的协议价格不得随市场价格波动而提高。</w:t>
      </w:r>
    </w:p>
    <w:p w14:paraId="26EDE69E">
      <w:pPr>
        <w:pStyle w:val="12"/>
        <w:ind w:firstLine="480"/>
        <w:jc w:val="left"/>
        <w:rPr>
          <w:rFonts w:hint="eastAsia"/>
          <w:lang w:val="en-US" w:eastAsia="zh-CN"/>
        </w:rPr>
      </w:pPr>
      <w:r>
        <w:rPr>
          <w:rFonts w:hint="eastAsia"/>
          <w:lang w:val="en-US" w:eastAsia="zh-CN"/>
        </w:rPr>
        <w:t>7.供应商的名称（包括发票开具单位的名称）、地址、联系方式等发生变化时，要及时通知征集人，并在“党政机关会议定点场所管理系统”上做相应更改。</w:t>
      </w:r>
    </w:p>
    <w:p w14:paraId="630FFC61">
      <w:pPr>
        <w:pStyle w:val="12"/>
        <w:ind w:firstLine="480"/>
        <w:jc w:val="left"/>
        <w:rPr>
          <w:rFonts w:hint="eastAsia"/>
          <w:lang w:val="en-US" w:eastAsia="zh-CN"/>
        </w:rPr>
      </w:pPr>
      <w:r>
        <w:rPr>
          <w:rFonts w:hint="eastAsia"/>
          <w:lang w:val="en-US" w:eastAsia="zh-CN"/>
        </w:rPr>
        <w:t>8.供应商应具备上网条件，应当在结算时通过“党政机关会议定点场所管理系统”打印电子结算单，供采购人或服务对象报销使用。</w:t>
      </w:r>
    </w:p>
    <w:p w14:paraId="5CF275D1">
      <w:pPr>
        <w:pStyle w:val="12"/>
        <w:ind w:firstLine="480"/>
        <w:jc w:val="left"/>
        <w:rPr>
          <w:rFonts w:hint="eastAsia"/>
          <w:lang w:val="en-US" w:eastAsia="zh-CN"/>
        </w:rPr>
      </w:pPr>
      <w:r>
        <w:rPr>
          <w:rFonts w:hint="eastAsia"/>
          <w:lang w:val="en-US" w:eastAsia="zh-CN"/>
        </w:rPr>
        <w:t>9.供应商应具备信用卡收款条件，方便采购人或服务对象使用公务卡结算。</w:t>
      </w:r>
    </w:p>
    <w:p w14:paraId="4D5D610B">
      <w:pPr>
        <w:pStyle w:val="12"/>
        <w:ind w:firstLine="480"/>
        <w:jc w:val="left"/>
        <w:rPr>
          <w:rFonts w:hint="eastAsia"/>
          <w:lang w:val="en-US" w:eastAsia="zh-CN"/>
        </w:rPr>
      </w:pPr>
      <w:r>
        <w:rPr>
          <w:rFonts w:hint="eastAsia"/>
          <w:lang w:val="en-US" w:eastAsia="zh-CN"/>
        </w:rPr>
        <w:t>10.供应商应及时在“党政机关会议定点场所管理系统”上完成场所的注册、协议价格等信息填报等工作，并通知财政部门进行审核。</w:t>
      </w:r>
    </w:p>
    <w:p w14:paraId="259767A8">
      <w:pPr>
        <w:pStyle w:val="12"/>
        <w:ind w:firstLine="480"/>
        <w:jc w:val="left"/>
        <w:rPr>
          <w:rFonts w:hint="eastAsia"/>
          <w:lang w:val="en-US" w:eastAsia="zh-CN"/>
        </w:rPr>
      </w:pPr>
      <w:r>
        <w:rPr>
          <w:rFonts w:hint="eastAsia"/>
          <w:lang w:val="en-US" w:eastAsia="zh-CN"/>
        </w:rPr>
        <w:t>11.供应商在“党政机关会议定点场所管理系统”注册的饭店名称与发票开具单位名称不一致的，应在网上注明。</w:t>
      </w:r>
    </w:p>
    <w:p w14:paraId="0BB50E11">
      <w:pPr>
        <w:pStyle w:val="12"/>
        <w:ind w:firstLine="480"/>
        <w:jc w:val="left"/>
        <w:rPr>
          <w:rFonts w:hint="eastAsia"/>
          <w:lang w:val="en-US" w:eastAsia="zh-CN"/>
        </w:rPr>
      </w:pPr>
      <w:r>
        <w:rPr>
          <w:rFonts w:hint="eastAsia"/>
          <w:lang w:val="en-US" w:eastAsia="zh-CN"/>
        </w:rPr>
        <w:t>12.供应商应接受财政部门、征集人的监督检查，对财政部门、征集人提出的意见及时进行整改。</w:t>
      </w:r>
    </w:p>
    <w:p w14:paraId="02037EEC">
      <w:pPr>
        <w:pStyle w:val="12"/>
        <w:jc w:val="left"/>
        <w:outlineLvl w:val="2"/>
      </w:pPr>
      <w:r>
        <w:rPr>
          <w:rFonts w:hint="eastAsia"/>
          <w:b/>
          <w:sz w:val="28"/>
          <w:lang w:val="en-US" w:eastAsia="zh-CN"/>
        </w:rPr>
        <w:t>七</w:t>
      </w:r>
      <w:r>
        <w:rPr>
          <w:b/>
          <w:sz w:val="28"/>
        </w:rPr>
        <w:t>、其他事项</w:t>
      </w:r>
    </w:p>
    <w:p w14:paraId="5C08F2F1">
      <w:pPr>
        <w:pStyle w:val="12"/>
        <w:ind w:firstLine="402" w:firstLineChars="200"/>
        <w:jc w:val="left"/>
        <w:rPr>
          <w:highlight w:val="none"/>
        </w:rPr>
      </w:pPr>
      <w:r>
        <w:rPr>
          <w:b/>
        </w:rPr>
        <w:t>1.框架协议执</w:t>
      </w:r>
      <w:r>
        <w:rPr>
          <w:b/>
          <w:highlight w:val="none"/>
        </w:rPr>
        <w:t>行方式</w:t>
      </w:r>
    </w:p>
    <w:p w14:paraId="34A7D6FA">
      <w:pPr>
        <w:pStyle w:val="12"/>
        <w:ind w:firstLine="480"/>
        <w:jc w:val="left"/>
        <w:rPr>
          <w:highlight w:val="none"/>
        </w:rPr>
      </w:pPr>
      <w:r>
        <w:rPr>
          <w:highlight w:val="none"/>
        </w:rPr>
        <w:t>（1）第一阶段</w:t>
      </w:r>
    </w:p>
    <w:p w14:paraId="7F41436C">
      <w:pPr>
        <w:pStyle w:val="12"/>
        <w:ind w:firstLine="480"/>
        <w:jc w:val="left"/>
        <w:rPr>
          <w:rFonts w:hint="eastAsia"/>
          <w:highlight w:val="none"/>
          <w:lang w:val="en-US" w:eastAsia="zh-Hans"/>
        </w:rPr>
      </w:pPr>
      <w:r>
        <w:rPr>
          <w:rFonts w:hint="eastAsia"/>
          <w:highlight w:val="none"/>
          <w:lang w:val="en-US" w:eastAsia="zh-Hans"/>
        </w:rPr>
        <w:t>本项目为框架协议实施的第一阶段，</w:t>
      </w:r>
      <w:r>
        <w:rPr>
          <w:rFonts w:hint="eastAsia"/>
          <w:highlight w:val="none"/>
          <w:lang w:val="en-US" w:eastAsia="zh-CN"/>
        </w:rPr>
        <w:t>采用开放式框架协议采购方式，分为A、B两个包，</w:t>
      </w:r>
      <w:r>
        <w:rPr>
          <w:rFonts w:hint="eastAsia"/>
          <w:b/>
          <w:bCs/>
          <w:color w:val="FF0000"/>
          <w:highlight w:val="none"/>
          <w:lang w:val="en-US" w:eastAsia="zh-CN"/>
        </w:rPr>
        <w:t>A包征集范围为：具有住宿、餐饮及会议接待能力的宾馆、酒店、招待所，B包征集范围为：无住宿条件的专业会议场所</w:t>
      </w:r>
      <w:r>
        <w:rPr>
          <w:rFonts w:hint="eastAsia"/>
          <w:highlight w:val="none"/>
          <w:lang w:val="en-US" w:eastAsia="zh-CN"/>
        </w:rPr>
        <w:t>，供应商根据自身实际资质情况选择A、B两个包中的对应分包参与</w:t>
      </w:r>
      <w:r>
        <w:rPr>
          <w:rFonts w:hint="eastAsia" w:asciiTheme="minorHAnsi" w:hAnsiTheme="minorHAnsi" w:eastAsiaTheme="minorEastAsia" w:cstheme="minorBidi"/>
          <w:snapToGrid/>
          <w:color w:val="auto"/>
          <w:kern w:val="0"/>
          <w:sz w:val="20"/>
          <w:szCs w:val="20"/>
          <w:lang w:val="en-US" w:eastAsia="zh-CN"/>
        </w:rPr>
        <w:t>申请</w:t>
      </w:r>
      <w:r>
        <w:rPr>
          <w:rFonts w:hint="eastAsia"/>
          <w:highlight w:val="none"/>
          <w:lang w:val="en-US" w:eastAsia="zh-CN"/>
        </w:rPr>
        <w:t>，不可同时选择多包参与</w:t>
      </w:r>
      <w:r>
        <w:rPr>
          <w:rFonts w:hint="eastAsia" w:asciiTheme="minorHAnsi" w:hAnsiTheme="minorHAnsi" w:eastAsiaTheme="minorEastAsia" w:cstheme="minorBidi"/>
          <w:snapToGrid/>
          <w:color w:val="auto"/>
          <w:kern w:val="0"/>
          <w:sz w:val="20"/>
          <w:szCs w:val="20"/>
          <w:lang w:val="en-US" w:eastAsia="zh-CN"/>
        </w:rPr>
        <w:t>申请</w:t>
      </w:r>
      <w:r>
        <w:rPr>
          <w:rFonts w:hint="eastAsia"/>
          <w:highlight w:val="none"/>
          <w:lang w:val="en-US" w:eastAsia="zh-CN"/>
        </w:rPr>
        <w:t>；同时参与</w:t>
      </w:r>
      <w:r>
        <w:rPr>
          <w:rFonts w:hint="eastAsia" w:asciiTheme="minorHAnsi" w:hAnsiTheme="minorHAnsi" w:eastAsiaTheme="minorEastAsia" w:cstheme="minorBidi"/>
          <w:snapToGrid/>
          <w:color w:val="auto"/>
          <w:kern w:val="0"/>
          <w:sz w:val="20"/>
          <w:szCs w:val="20"/>
          <w:lang w:val="en-US" w:eastAsia="zh-CN"/>
        </w:rPr>
        <w:t>申请</w:t>
      </w:r>
      <w:r>
        <w:rPr>
          <w:rFonts w:hint="eastAsia"/>
          <w:highlight w:val="none"/>
          <w:lang w:val="en-US" w:eastAsia="zh-CN"/>
        </w:rPr>
        <w:t>多包的，均做申请无效处理。</w:t>
      </w:r>
    </w:p>
    <w:p w14:paraId="08798A51">
      <w:pPr>
        <w:pStyle w:val="12"/>
        <w:ind w:firstLine="480"/>
        <w:jc w:val="left"/>
        <w:rPr>
          <w:highlight w:val="none"/>
        </w:rPr>
      </w:pPr>
      <w:r>
        <w:rPr>
          <w:highlight w:val="none"/>
        </w:rPr>
        <w:t>（2）第二阶段</w:t>
      </w:r>
    </w:p>
    <w:p w14:paraId="3E702614">
      <w:pPr>
        <w:pStyle w:val="12"/>
        <w:ind w:firstLine="400" w:firstLineChars="200"/>
        <w:jc w:val="left"/>
        <w:rPr>
          <w:rFonts w:hint="eastAsia" w:eastAsiaTheme="minorEastAsia"/>
          <w:highlight w:val="none"/>
          <w:lang w:eastAsia="zh-CN"/>
        </w:rPr>
      </w:pPr>
      <w:r>
        <w:rPr>
          <w:highlight w:val="none"/>
        </w:rPr>
        <w:t>入围供应商第一阶段</w:t>
      </w:r>
      <w:r>
        <w:rPr>
          <w:rFonts w:hint="eastAsia"/>
          <w:highlight w:val="none"/>
          <w:lang w:val="en-US" w:eastAsia="zh-CN"/>
        </w:rPr>
        <w:t>的</w:t>
      </w:r>
      <w:r>
        <w:rPr>
          <w:highlight w:val="none"/>
        </w:rPr>
        <w:t>报价是采购人或者服务对象确定第二阶段成交供应商的最高限价</w:t>
      </w:r>
      <w:r>
        <w:rPr>
          <w:rFonts w:hint="eastAsia"/>
          <w:highlight w:val="none"/>
          <w:lang w:eastAsia="zh-CN"/>
        </w:rPr>
        <w:t>。</w:t>
      </w:r>
    </w:p>
    <w:p w14:paraId="282243E3">
      <w:pPr>
        <w:pStyle w:val="12"/>
        <w:ind w:firstLine="402" w:firstLineChars="200"/>
        <w:jc w:val="left"/>
        <w:rPr>
          <w:highlight w:val="none"/>
        </w:rPr>
      </w:pPr>
      <w:r>
        <w:rPr>
          <w:b/>
          <w:highlight w:val="none"/>
        </w:rPr>
        <w:t>2.框架协议</w:t>
      </w:r>
      <w:r>
        <w:rPr>
          <w:rFonts w:hint="eastAsia"/>
          <w:b/>
          <w:highlight w:val="none"/>
          <w:lang w:val="en-US" w:eastAsia="zh-CN"/>
        </w:rPr>
        <w:t>系统</w:t>
      </w:r>
      <w:r>
        <w:rPr>
          <w:b/>
          <w:highlight w:val="none"/>
        </w:rPr>
        <w:t>管理规则</w:t>
      </w:r>
    </w:p>
    <w:p w14:paraId="6F48B7F6">
      <w:pPr>
        <w:pStyle w:val="12"/>
        <w:ind w:firstLine="400" w:firstLineChars="200"/>
        <w:jc w:val="left"/>
        <w:rPr>
          <w:highlight w:val="none"/>
        </w:rPr>
      </w:pPr>
      <w:r>
        <w:rPr>
          <w:highlight w:val="none"/>
        </w:rPr>
        <w:t>入围供应商须按框架协议系统发布的管理规则执行。随着相关管理规则和制度的不断完善，入围供应商需要积极配合服从主管部门或征集人新制订的管理制度。</w:t>
      </w:r>
    </w:p>
    <w:p w14:paraId="04A01E96">
      <w:pPr>
        <w:pStyle w:val="12"/>
        <w:ind w:firstLine="402" w:firstLineChars="200"/>
        <w:jc w:val="left"/>
        <w:rPr>
          <w:highlight w:val="none"/>
        </w:rPr>
      </w:pPr>
      <w:r>
        <w:rPr>
          <w:rFonts w:hint="eastAsia"/>
          <w:b/>
          <w:highlight w:val="none"/>
          <w:lang w:val="en-US" w:eastAsia="zh-CN"/>
        </w:rPr>
        <w:t>3</w:t>
      </w:r>
      <w:r>
        <w:rPr>
          <w:b/>
          <w:highlight w:val="none"/>
        </w:rPr>
        <w:t>.其他约定</w:t>
      </w:r>
    </w:p>
    <w:p w14:paraId="09704B2C">
      <w:pPr>
        <w:pStyle w:val="12"/>
        <w:ind w:firstLine="480"/>
        <w:jc w:val="left"/>
        <w:rPr>
          <w:highlight w:val="none"/>
        </w:rPr>
      </w:pPr>
      <w:r>
        <w:rPr>
          <w:highlight w:val="none"/>
        </w:rPr>
        <w:t>供应商参加本项目征集活动，有义务仔细阅读本项目公告及征集文件要求，并视为接受了本征集文件的规定和约束。</w:t>
      </w:r>
    </w:p>
    <w:p w14:paraId="570841EB">
      <w:pPr>
        <w:pStyle w:val="12"/>
        <w:numPr>
          <w:ilvl w:val="-1"/>
          <w:numId w:val="0"/>
        </w:numPr>
        <w:ind w:firstLine="402" w:firstLineChars="200"/>
        <w:jc w:val="left"/>
        <w:rPr>
          <w:rFonts w:hint="eastAsia" w:asciiTheme="minorHAnsi" w:hAnsiTheme="minorHAnsi" w:eastAsiaTheme="minorEastAsia" w:cstheme="minorBidi"/>
          <w:b/>
          <w:sz w:val="20"/>
          <w:szCs w:val="20"/>
          <w:lang w:val="en-US" w:eastAsia="zh-CN"/>
        </w:rPr>
      </w:pPr>
      <w:r>
        <w:rPr>
          <w:rFonts w:hint="eastAsia" w:cstheme="minorBidi"/>
          <w:b/>
          <w:sz w:val="20"/>
          <w:szCs w:val="20"/>
          <w:lang w:val="en-US" w:eastAsia="zh-CN"/>
        </w:rPr>
        <w:t>4.</w:t>
      </w:r>
      <w:r>
        <w:rPr>
          <w:rFonts w:hint="eastAsia" w:asciiTheme="minorHAnsi" w:hAnsiTheme="minorHAnsi" w:eastAsiaTheme="minorEastAsia" w:cstheme="minorBidi"/>
          <w:b/>
          <w:sz w:val="20"/>
          <w:szCs w:val="20"/>
          <w:lang w:val="en-US" w:eastAsia="zh-CN"/>
        </w:rPr>
        <w:t>供应商应当提交的资格材料</w:t>
      </w:r>
    </w:p>
    <w:p w14:paraId="13E06426">
      <w:pPr>
        <w:pStyle w:val="12"/>
        <w:ind w:firstLine="480"/>
        <w:jc w:val="left"/>
        <w:rPr>
          <w:rFonts w:hint="default"/>
          <w:lang w:val="en-US" w:eastAsia="zh-CN"/>
        </w:rPr>
      </w:pPr>
      <w:r>
        <w:rPr>
          <w:rFonts w:hint="eastAsia"/>
          <w:lang w:val="en-US" w:eastAsia="zh-CN"/>
        </w:rPr>
        <w:t xml:space="preserve">按照征集文件要求提供相关材料，征集文件“第六章 </w:t>
      </w:r>
      <w:r>
        <w:rPr>
          <w:rFonts w:hint="eastAsia"/>
          <w:lang w:eastAsia="zh-CN"/>
        </w:rPr>
        <w:t>申请文件</w:t>
      </w:r>
      <w:r>
        <w:rPr>
          <w:lang w:eastAsia="zh-CN"/>
        </w:rPr>
        <w:t>格式</w:t>
      </w:r>
      <w:r>
        <w:rPr>
          <w:rFonts w:hint="eastAsia"/>
          <w:lang w:eastAsia="zh-CN"/>
        </w:rPr>
        <w:t>”</w:t>
      </w:r>
      <w:r>
        <w:rPr>
          <w:rFonts w:hint="eastAsia"/>
          <w:lang w:val="en-US" w:eastAsia="zh-CN"/>
        </w:rPr>
        <w:t>为须提供的材料节点。</w:t>
      </w:r>
    </w:p>
    <w:p w14:paraId="7D7D8E6E">
      <w:pPr>
        <w:pStyle w:val="12"/>
        <w:ind w:firstLine="402" w:firstLineChars="200"/>
        <w:jc w:val="left"/>
        <w:rPr>
          <w:rFonts w:hint="eastAsia"/>
          <w:b/>
          <w:bCs/>
          <w:lang w:val="en-US" w:eastAsia="zh-CN"/>
        </w:rPr>
      </w:pPr>
      <w:r>
        <w:rPr>
          <w:rFonts w:hint="eastAsia"/>
          <w:b/>
          <w:bCs/>
          <w:lang w:val="en-US" w:eastAsia="zh-CN"/>
        </w:rPr>
        <w:t>5.会议定点场所有以下行为之一的，经调查属实，取消会议定点场所资格：</w:t>
      </w:r>
    </w:p>
    <w:p w14:paraId="7935BB29">
      <w:pPr>
        <w:pStyle w:val="12"/>
        <w:ind w:firstLine="480"/>
        <w:jc w:val="left"/>
        <w:rPr>
          <w:rFonts w:hint="eastAsia"/>
          <w:lang w:val="en-US" w:eastAsia="zh-CN"/>
        </w:rPr>
      </w:pPr>
      <w:r>
        <w:rPr>
          <w:rFonts w:hint="eastAsia"/>
          <w:lang w:val="en-US" w:eastAsia="zh-CN"/>
        </w:rPr>
        <w:t>（1）无正当理由拒绝接待党政机关会议的。</w:t>
      </w:r>
    </w:p>
    <w:p w14:paraId="5367B167">
      <w:pPr>
        <w:pStyle w:val="12"/>
        <w:ind w:firstLine="480"/>
        <w:jc w:val="left"/>
        <w:rPr>
          <w:rFonts w:hint="eastAsia"/>
          <w:lang w:val="en-US" w:eastAsia="zh-CN"/>
        </w:rPr>
      </w:pPr>
      <w:r>
        <w:rPr>
          <w:rFonts w:hint="eastAsia"/>
          <w:lang w:val="en-US" w:eastAsia="zh-CN"/>
        </w:rPr>
        <w:t>（2）不履行采购协议义务或者履行采购协议义务不符合约定，经协商后仍不履行或者仍未按约定履行的。</w:t>
      </w:r>
    </w:p>
    <w:p w14:paraId="0049C77B">
      <w:pPr>
        <w:pStyle w:val="12"/>
        <w:ind w:firstLine="480"/>
        <w:jc w:val="left"/>
        <w:rPr>
          <w:rFonts w:hint="eastAsia"/>
          <w:lang w:val="en-US" w:eastAsia="zh-CN"/>
        </w:rPr>
      </w:pPr>
      <w:r>
        <w:rPr>
          <w:rFonts w:hint="eastAsia"/>
          <w:lang w:val="en-US" w:eastAsia="zh-CN"/>
        </w:rPr>
        <w:t>（3）超过采购协议价格收取费用或者采取减少服务项目等降低服务质量的。</w:t>
      </w:r>
    </w:p>
    <w:p w14:paraId="6828E790">
      <w:pPr>
        <w:pStyle w:val="12"/>
        <w:ind w:firstLine="480"/>
        <w:jc w:val="left"/>
        <w:rPr>
          <w:rFonts w:hint="eastAsia"/>
          <w:lang w:val="en-US" w:eastAsia="zh-CN"/>
        </w:rPr>
      </w:pPr>
      <w:r>
        <w:rPr>
          <w:rFonts w:hint="eastAsia"/>
          <w:lang w:val="en-US" w:eastAsia="zh-CN"/>
        </w:rPr>
        <w:t>（4）提供虚假凭证或者未按规定提供发票、费用原始明细单据、电子结算单等凭证的。</w:t>
      </w:r>
    </w:p>
    <w:p w14:paraId="3B369A80">
      <w:pPr>
        <w:pStyle w:val="12"/>
        <w:ind w:firstLine="480"/>
        <w:jc w:val="left"/>
        <w:rPr>
          <w:rFonts w:hint="eastAsia"/>
          <w:lang w:val="en-US" w:eastAsia="zh-CN"/>
        </w:rPr>
      </w:pPr>
      <w:r>
        <w:rPr>
          <w:rFonts w:hint="eastAsia"/>
          <w:lang w:val="en-US" w:eastAsia="zh-CN"/>
        </w:rPr>
        <w:t>（5）不配合、甚至干扰阻挠财政部门正常管理监督工作的。</w:t>
      </w:r>
    </w:p>
    <w:p w14:paraId="0F654CF8">
      <w:pPr>
        <w:pStyle w:val="12"/>
        <w:ind w:firstLine="480"/>
        <w:jc w:val="left"/>
        <w:rPr>
          <w:rFonts w:hint="eastAsia"/>
          <w:lang w:val="en-US" w:eastAsia="zh-CN"/>
        </w:rPr>
      </w:pPr>
      <w:r>
        <w:rPr>
          <w:rFonts w:hint="eastAsia"/>
          <w:lang w:val="en-US" w:eastAsia="zh-CN"/>
        </w:rPr>
        <w:t>（6）未经批准单方面终止履行协议的。</w:t>
      </w:r>
    </w:p>
    <w:p w14:paraId="35C6BDAA">
      <w:pPr>
        <w:pStyle w:val="12"/>
        <w:ind w:firstLine="480"/>
        <w:jc w:val="left"/>
        <w:rPr>
          <w:rFonts w:hint="eastAsia"/>
          <w:lang w:val="en-US" w:eastAsia="zh-CN"/>
        </w:rPr>
      </w:pPr>
      <w:r>
        <w:rPr>
          <w:rFonts w:hint="eastAsia"/>
          <w:lang w:val="en-US" w:eastAsia="zh-CN"/>
        </w:rPr>
        <w:t>（7）在采购协议期内，因违法行为被禁止或者限制参加政府采购活动的。</w:t>
      </w:r>
    </w:p>
    <w:p w14:paraId="2B3AC00D">
      <w:pPr>
        <w:pStyle w:val="12"/>
        <w:ind w:firstLine="480"/>
        <w:jc w:val="left"/>
        <w:rPr>
          <w:rFonts w:hint="eastAsia"/>
          <w:lang w:val="en-US" w:eastAsia="zh-CN"/>
        </w:rPr>
      </w:pPr>
      <w:r>
        <w:rPr>
          <w:rFonts w:hint="eastAsia"/>
          <w:lang w:val="en-US" w:eastAsia="zh-CN"/>
        </w:rPr>
        <w:t>（8）采购协议约定的其他情形。</w:t>
      </w:r>
    </w:p>
    <w:p w14:paraId="0A5A97A7">
      <w:pPr>
        <w:pStyle w:val="12"/>
        <w:ind w:firstLine="480"/>
        <w:jc w:val="left"/>
        <w:rPr>
          <w:rFonts w:hint="eastAsia"/>
          <w:lang w:val="en-US" w:eastAsia="zh-CN"/>
        </w:rPr>
      </w:pPr>
      <w:r>
        <w:rPr>
          <w:rFonts w:hint="eastAsia"/>
          <w:lang w:val="en-US" w:eastAsia="zh-CN"/>
        </w:rPr>
        <w:t>采用开放式框架协议采购方式采购的，被取消资格后不得在同一框架协议期内再次加入。</w:t>
      </w:r>
    </w:p>
    <w:p w14:paraId="3ACCCEDB">
      <w:pPr>
        <w:pStyle w:val="12"/>
        <w:ind w:firstLine="480"/>
        <w:jc w:val="left"/>
        <w:rPr>
          <w:rFonts w:hint="default"/>
          <w:lang w:val="en-US" w:eastAsia="zh-CN"/>
        </w:rPr>
      </w:pPr>
      <w:r>
        <w:rPr>
          <w:rFonts w:hint="eastAsia"/>
          <w:lang w:val="en-US" w:eastAsia="zh-CN"/>
        </w:rPr>
        <w:t>开放式框架协议入围供应商可以随时申请退出框架协议。征集人应当在收到退出申请2个工作日内，发布入围供应商退出公告。</w:t>
      </w:r>
    </w:p>
    <w:p w14:paraId="6C19B3CE">
      <w:pPr>
        <w:pStyle w:val="12"/>
        <w:jc w:val="center"/>
        <w:outlineLvl w:val="1"/>
        <w:rPr>
          <w:b/>
          <w:sz w:val="36"/>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14:paraId="3CF8A689">
      <w:pPr>
        <w:pStyle w:val="12"/>
        <w:jc w:val="center"/>
        <w:outlineLvl w:val="1"/>
        <w:rPr>
          <w:b/>
          <w:sz w:val="36"/>
        </w:rPr>
      </w:pPr>
      <w:r>
        <w:rPr>
          <w:b/>
          <w:sz w:val="36"/>
        </w:rPr>
        <w:t>第三章 采购需求</w:t>
      </w:r>
    </w:p>
    <w:p w14:paraId="154C4F3B">
      <w:pPr>
        <w:pStyle w:val="12"/>
        <w:jc w:val="left"/>
        <w:outlineLvl w:val="2"/>
        <w:rPr>
          <w:rFonts w:hint="eastAsia"/>
          <w:b/>
          <w:sz w:val="28"/>
          <w:lang w:val="en-US" w:eastAsia="zh-CN"/>
        </w:rPr>
      </w:pPr>
      <w:r>
        <w:rPr>
          <w:rFonts w:hint="eastAsia"/>
          <w:b/>
          <w:sz w:val="28"/>
          <w:lang w:val="en-US" w:eastAsia="zh-CN"/>
        </w:rPr>
        <w:t>一、会议类别</w:t>
      </w:r>
    </w:p>
    <w:tbl>
      <w:tblPr>
        <w:tblStyle w:val="8"/>
        <w:tblW w:w="14662" w:type="dxa"/>
        <w:tblInd w:w="0" w:type="dxa"/>
        <w:tblLayout w:type="fixed"/>
        <w:tblCellMar>
          <w:top w:w="0" w:type="dxa"/>
          <w:left w:w="108" w:type="dxa"/>
          <w:bottom w:w="0" w:type="dxa"/>
          <w:right w:w="108" w:type="dxa"/>
        </w:tblCellMar>
      </w:tblPr>
      <w:tblGrid>
        <w:gridCol w:w="522"/>
        <w:gridCol w:w="706"/>
        <w:gridCol w:w="2094"/>
        <w:gridCol w:w="1738"/>
        <w:gridCol w:w="2312"/>
        <w:gridCol w:w="2003"/>
        <w:gridCol w:w="1815"/>
        <w:gridCol w:w="1732"/>
        <w:gridCol w:w="1740"/>
      </w:tblGrid>
      <w:tr w14:paraId="700E17D8">
        <w:tblPrEx>
          <w:tblCellMar>
            <w:top w:w="0" w:type="dxa"/>
            <w:left w:w="108" w:type="dxa"/>
            <w:bottom w:w="0" w:type="dxa"/>
            <w:right w:w="108" w:type="dxa"/>
          </w:tblCellMar>
        </w:tblPrEx>
        <w:trPr>
          <w:trHeight w:val="720" w:hRule="atLeast"/>
        </w:trPr>
        <w:tc>
          <w:tcPr>
            <w:tcW w:w="522" w:type="dxa"/>
            <w:tcBorders>
              <w:top w:val="single" w:color="auto" w:sz="4" w:space="0"/>
              <w:left w:val="single" w:color="auto" w:sz="4" w:space="0"/>
              <w:bottom w:val="single" w:color="auto" w:sz="4" w:space="0"/>
              <w:right w:val="single" w:color="auto" w:sz="4" w:space="0"/>
            </w:tcBorders>
            <w:shd w:val="clear" w:color="auto" w:fill="BDD6EE" w:themeFill="accent1" w:themeFillTint="66"/>
            <w:vAlign w:val="center"/>
          </w:tcPr>
          <w:p w14:paraId="0C6BD5CF">
            <w:pPr>
              <w:widowControl/>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采购包</w:t>
            </w:r>
          </w:p>
        </w:tc>
        <w:tc>
          <w:tcPr>
            <w:tcW w:w="706" w:type="dxa"/>
            <w:tcBorders>
              <w:top w:val="single" w:color="auto" w:sz="4" w:space="0"/>
              <w:left w:val="nil"/>
              <w:bottom w:val="single" w:color="auto" w:sz="4" w:space="0"/>
              <w:right w:val="single" w:color="auto" w:sz="4" w:space="0"/>
            </w:tcBorders>
            <w:shd w:val="clear" w:color="auto" w:fill="BDD6EE" w:themeFill="accent1" w:themeFillTint="66"/>
            <w:vAlign w:val="center"/>
          </w:tcPr>
          <w:p w14:paraId="64BFFED7">
            <w:pPr>
              <w:widowControl/>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lang w:val="en-US" w:eastAsia="zh-CN"/>
              </w:rPr>
              <w:t>会议</w:t>
            </w:r>
            <w:r>
              <w:rPr>
                <w:rFonts w:hint="eastAsia" w:ascii="宋体" w:hAnsi="宋体" w:eastAsia="宋体" w:cs="宋体"/>
                <w:b/>
                <w:bCs/>
                <w:color w:val="000000"/>
                <w:kern w:val="0"/>
                <w:sz w:val="20"/>
                <w:szCs w:val="20"/>
              </w:rPr>
              <w:t>类别</w:t>
            </w:r>
          </w:p>
        </w:tc>
        <w:tc>
          <w:tcPr>
            <w:tcW w:w="2094" w:type="dxa"/>
            <w:tcBorders>
              <w:top w:val="single" w:color="auto" w:sz="4" w:space="0"/>
              <w:left w:val="nil"/>
              <w:bottom w:val="single" w:color="auto" w:sz="4" w:space="0"/>
              <w:right w:val="single" w:color="auto" w:sz="4" w:space="0"/>
            </w:tcBorders>
            <w:shd w:val="clear" w:color="auto" w:fill="BDD6EE" w:themeFill="accent1" w:themeFillTint="66"/>
            <w:vAlign w:val="center"/>
          </w:tcPr>
          <w:p w14:paraId="61F98820">
            <w:pPr>
              <w:widowControl/>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简介</w:t>
            </w:r>
          </w:p>
        </w:tc>
        <w:tc>
          <w:tcPr>
            <w:tcW w:w="1738" w:type="dxa"/>
            <w:tcBorders>
              <w:top w:val="single" w:color="auto" w:sz="4" w:space="0"/>
              <w:left w:val="nil"/>
              <w:bottom w:val="single" w:color="auto" w:sz="4" w:space="0"/>
              <w:right w:val="single" w:color="auto" w:sz="4" w:space="0"/>
            </w:tcBorders>
            <w:shd w:val="clear" w:color="auto" w:fill="BDD6EE" w:themeFill="accent1" w:themeFillTint="66"/>
            <w:vAlign w:val="center"/>
          </w:tcPr>
          <w:p w14:paraId="2B9A56E2">
            <w:pPr>
              <w:widowControl/>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会期</w:t>
            </w:r>
          </w:p>
        </w:tc>
        <w:tc>
          <w:tcPr>
            <w:tcW w:w="2312" w:type="dxa"/>
            <w:tcBorders>
              <w:top w:val="single" w:color="auto" w:sz="4" w:space="0"/>
              <w:left w:val="nil"/>
              <w:bottom w:val="single" w:color="auto" w:sz="4" w:space="0"/>
              <w:right w:val="single" w:color="auto" w:sz="4" w:space="0"/>
            </w:tcBorders>
            <w:shd w:val="clear" w:color="auto" w:fill="BDD6EE" w:themeFill="accent1" w:themeFillTint="66"/>
            <w:vAlign w:val="center"/>
          </w:tcPr>
          <w:p w14:paraId="4A45E374">
            <w:pPr>
              <w:widowControl/>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参会人数上限</w:t>
            </w:r>
          </w:p>
        </w:tc>
        <w:tc>
          <w:tcPr>
            <w:tcW w:w="2003" w:type="dxa"/>
            <w:tcBorders>
              <w:top w:val="single" w:color="auto" w:sz="4" w:space="0"/>
              <w:left w:val="nil"/>
              <w:bottom w:val="single" w:color="auto" w:sz="4" w:space="0"/>
              <w:right w:val="single" w:color="auto" w:sz="4" w:space="0"/>
            </w:tcBorders>
            <w:shd w:val="clear" w:color="auto" w:fill="BDD6EE" w:themeFill="accent1" w:themeFillTint="66"/>
            <w:vAlign w:val="center"/>
          </w:tcPr>
          <w:p w14:paraId="0F2769C6">
            <w:pPr>
              <w:widowControl/>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住宿费（元/人·天）</w:t>
            </w:r>
          </w:p>
        </w:tc>
        <w:tc>
          <w:tcPr>
            <w:tcW w:w="1815" w:type="dxa"/>
            <w:tcBorders>
              <w:top w:val="single" w:color="auto" w:sz="4" w:space="0"/>
              <w:left w:val="nil"/>
              <w:bottom w:val="single" w:color="auto" w:sz="4" w:space="0"/>
              <w:right w:val="single" w:color="auto" w:sz="4" w:space="0"/>
            </w:tcBorders>
            <w:shd w:val="clear" w:color="auto" w:fill="BDD6EE" w:themeFill="accent1" w:themeFillTint="66"/>
            <w:vAlign w:val="center"/>
          </w:tcPr>
          <w:p w14:paraId="71D368A1">
            <w:pPr>
              <w:widowControl/>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伙食费（元/人·天）</w:t>
            </w:r>
          </w:p>
        </w:tc>
        <w:tc>
          <w:tcPr>
            <w:tcW w:w="1732" w:type="dxa"/>
            <w:tcBorders>
              <w:top w:val="single" w:color="auto" w:sz="4" w:space="0"/>
              <w:left w:val="nil"/>
              <w:bottom w:val="single" w:color="auto" w:sz="4" w:space="0"/>
              <w:right w:val="single" w:color="auto" w:sz="4" w:space="0"/>
            </w:tcBorders>
            <w:shd w:val="clear" w:color="auto" w:fill="BDD6EE" w:themeFill="accent1" w:themeFillTint="66"/>
            <w:vAlign w:val="center"/>
          </w:tcPr>
          <w:p w14:paraId="3F9B7FF0">
            <w:pPr>
              <w:widowControl/>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其他费用（元/人·天）</w:t>
            </w:r>
          </w:p>
        </w:tc>
        <w:tc>
          <w:tcPr>
            <w:tcW w:w="1740" w:type="dxa"/>
            <w:tcBorders>
              <w:top w:val="single" w:color="auto" w:sz="4" w:space="0"/>
              <w:left w:val="nil"/>
              <w:bottom w:val="single" w:color="auto" w:sz="4" w:space="0"/>
              <w:right w:val="single" w:color="auto" w:sz="4" w:space="0"/>
            </w:tcBorders>
            <w:shd w:val="clear" w:color="auto" w:fill="BDD6EE" w:themeFill="accent1" w:themeFillTint="66"/>
            <w:vAlign w:val="center"/>
          </w:tcPr>
          <w:p w14:paraId="1D4976C4">
            <w:pPr>
              <w:widowControl/>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综合定额标准上限（元/人·天）</w:t>
            </w:r>
          </w:p>
        </w:tc>
      </w:tr>
      <w:tr w14:paraId="11BF43AF">
        <w:tblPrEx>
          <w:tblCellMar>
            <w:top w:w="0" w:type="dxa"/>
            <w:left w:w="108" w:type="dxa"/>
            <w:bottom w:w="0" w:type="dxa"/>
            <w:right w:w="108" w:type="dxa"/>
          </w:tblCellMar>
        </w:tblPrEx>
        <w:trPr>
          <w:trHeight w:val="861" w:hRule="atLeast"/>
        </w:trPr>
        <w:tc>
          <w:tcPr>
            <w:tcW w:w="522" w:type="dxa"/>
            <w:tcBorders>
              <w:top w:val="nil"/>
              <w:left w:val="single" w:color="auto" w:sz="4" w:space="0"/>
              <w:bottom w:val="single" w:color="auto" w:sz="4" w:space="0"/>
              <w:right w:val="single" w:color="auto" w:sz="4" w:space="0"/>
            </w:tcBorders>
            <w:shd w:val="clear" w:color="auto" w:fill="auto"/>
            <w:noWrap/>
            <w:vAlign w:val="center"/>
          </w:tcPr>
          <w:p w14:paraId="57ECAF54">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706" w:type="dxa"/>
            <w:tcBorders>
              <w:top w:val="nil"/>
              <w:left w:val="nil"/>
              <w:bottom w:val="single" w:color="auto" w:sz="4" w:space="0"/>
              <w:right w:val="single" w:color="auto" w:sz="4" w:space="0"/>
            </w:tcBorders>
            <w:shd w:val="clear" w:color="auto" w:fill="auto"/>
            <w:vAlign w:val="center"/>
          </w:tcPr>
          <w:p w14:paraId="18F6DA89">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一类会议</w:t>
            </w:r>
          </w:p>
        </w:tc>
        <w:tc>
          <w:tcPr>
            <w:tcW w:w="2094" w:type="dxa"/>
            <w:tcBorders>
              <w:top w:val="nil"/>
              <w:left w:val="nil"/>
              <w:bottom w:val="single" w:color="auto" w:sz="4" w:space="0"/>
              <w:right w:val="single" w:color="auto" w:sz="4" w:space="0"/>
            </w:tcBorders>
            <w:shd w:val="clear" w:color="auto" w:fill="auto"/>
            <w:vAlign w:val="center"/>
          </w:tcPr>
          <w:p w14:paraId="0FE98A38">
            <w:pPr>
              <w:widowControl/>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指以市委、市人大、市政府、市政协名义召开的全市性会议。</w:t>
            </w:r>
          </w:p>
        </w:tc>
        <w:tc>
          <w:tcPr>
            <w:tcW w:w="1738" w:type="dxa"/>
            <w:tcBorders>
              <w:top w:val="nil"/>
              <w:left w:val="nil"/>
              <w:bottom w:val="single" w:color="auto" w:sz="4" w:space="0"/>
              <w:right w:val="single" w:color="auto" w:sz="4" w:space="0"/>
            </w:tcBorders>
            <w:shd w:val="clear" w:color="auto" w:fill="auto"/>
            <w:vAlign w:val="center"/>
          </w:tcPr>
          <w:p w14:paraId="2E288F20">
            <w:pPr>
              <w:widowControl/>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按照批准文件，根据工作需要从严控制。</w:t>
            </w:r>
          </w:p>
        </w:tc>
        <w:tc>
          <w:tcPr>
            <w:tcW w:w="2312" w:type="dxa"/>
            <w:tcBorders>
              <w:top w:val="nil"/>
              <w:left w:val="nil"/>
              <w:bottom w:val="single" w:color="auto" w:sz="4" w:space="0"/>
              <w:right w:val="single" w:color="auto" w:sz="4" w:space="0"/>
            </w:tcBorders>
            <w:shd w:val="clear" w:color="auto" w:fill="auto"/>
            <w:vAlign w:val="center"/>
          </w:tcPr>
          <w:p w14:paraId="1E142C5C">
            <w:pPr>
              <w:widowControl/>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按照批准文件，根据会议性质和主要内容确定，严格限定会议代表和工作人员数量。</w:t>
            </w:r>
          </w:p>
        </w:tc>
        <w:tc>
          <w:tcPr>
            <w:tcW w:w="2003" w:type="dxa"/>
            <w:tcBorders>
              <w:top w:val="nil"/>
              <w:left w:val="nil"/>
              <w:bottom w:val="single" w:color="auto" w:sz="4" w:space="0"/>
              <w:right w:val="single" w:color="auto" w:sz="4" w:space="0"/>
            </w:tcBorders>
            <w:shd w:val="clear" w:color="auto" w:fill="auto"/>
            <w:vAlign w:val="center"/>
          </w:tcPr>
          <w:p w14:paraId="2D245055">
            <w:pPr>
              <w:widowControl/>
              <w:jc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330</w:t>
            </w:r>
          </w:p>
        </w:tc>
        <w:tc>
          <w:tcPr>
            <w:tcW w:w="1815" w:type="dxa"/>
            <w:tcBorders>
              <w:top w:val="nil"/>
              <w:left w:val="nil"/>
              <w:bottom w:val="single" w:color="auto" w:sz="4" w:space="0"/>
              <w:right w:val="single" w:color="auto" w:sz="4" w:space="0"/>
            </w:tcBorders>
            <w:shd w:val="clear" w:color="auto" w:fill="auto"/>
            <w:vAlign w:val="center"/>
          </w:tcPr>
          <w:p w14:paraId="48EC2011">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200</w:t>
            </w:r>
          </w:p>
        </w:tc>
        <w:tc>
          <w:tcPr>
            <w:tcW w:w="1732" w:type="dxa"/>
            <w:tcBorders>
              <w:top w:val="nil"/>
              <w:left w:val="nil"/>
              <w:bottom w:val="single" w:color="auto" w:sz="4" w:space="0"/>
              <w:right w:val="single" w:color="auto" w:sz="4" w:space="0"/>
            </w:tcBorders>
            <w:shd w:val="clear" w:color="auto" w:fill="auto"/>
            <w:vAlign w:val="center"/>
          </w:tcPr>
          <w:p w14:paraId="3ADD79C6">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230</w:t>
            </w:r>
          </w:p>
        </w:tc>
        <w:tc>
          <w:tcPr>
            <w:tcW w:w="1740" w:type="dxa"/>
            <w:tcBorders>
              <w:top w:val="nil"/>
              <w:left w:val="nil"/>
              <w:bottom w:val="single" w:color="auto" w:sz="4" w:space="0"/>
              <w:right w:val="single" w:color="auto" w:sz="4" w:space="0"/>
            </w:tcBorders>
            <w:shd w:val="clear" w:color="auto" w:fill="auto"/>
            <w:vAlign w:val="center"/>
          </w:tcPr>
          <w:p w14:paraId="4251BCFD">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760</w:t>
            </w:r>
          </w:p>
        </w:tc>
      </w:tr>
      <w:tr w14:paraId="30046053">
        <w:tblPrEx>
          <w:tblCellMar>
            <w:top w:w="0" w:type="dxa"/>
            <w:left w:w="108" w:type="dxa"/>
            <w:bottom w:w="0" w:type="dxa"/>
            <w:right w:w="108" w:type="dxa"/>
          </w:tblCellMar>
        </w:tblPrEx>
        <w:trPr>
          <w:trHeight w:val="737" w:hRule="atLeast"/>
        </w:trPr>
        <w:tc>
          <w:tcPr>
            <w:tcW w:w="522" w:type="dxa"/>
            <w:tcBorders>
              <w:top w:val="nil"/>
              <w:left w:val="single" w:color="auto" w:sz="4" w:space="0"/>
              <w:bottom w:val="single" w:color="auto" w:sz="4" w:space="0"/>
              <w:right w:val="single" w:color="auto" w:sz="4" w:space="0"/>
            </w:tcBorders>
            <w:shd w:val="clear" w:color="auto" w:fill="auto"/>
            <w:noWrap/>
            <w:vAlign w:val="center"/>
          </w:tcPr>
          <w:p w14:paraId="50ED0DC7">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w:t>
            </w:r>
          </w:p>
        </w:tc>
        <w:tc>
          <w:tcPr>
            <w:tcW w:w="706" w:type="dxa"/>
            <w:tcBorders>
              <w:top w:val="nil"/>
              <w:left w:val="nil"/>
              <w:bottom w:val="single" w:color="auto" w:sz="4" w:space="0"/>
              <w:right w:val="single" w:color="auto" w:sz="4" w:space="0"/>
            </w:tcBorders>
            <w:shd w:val="clear" w:color="auto" w:fill="auto"/>
            <w:vAlign w:val="center"/>
          </w:tcPr>
          <w:p w14:paraId="4532D8D2">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二类会议</w:t>
            </w:r>
          </w:p>
        </w:tc>
        <w:tc>
          <w:tcPr>
            <w:tcW w:w="2094" w:type="dxa"/>
            <w:tcBorders>
              <w:top w:val="nil"/>
              <w:left w:val="nil"/>
              <w:bottom w:val="single" w:color="auto" w:sz="4" w:space="0"/>
              <w:right w:val="single" w:color="auto" w:sz="4" w:space="0"/>
            </w:tcBorders>
            <w:shd w:val="clear" w:color="auto" w:fill="auto"/>
            <w:vAlign w:val="center"/>
          </w:tcPr>
          <w:p w14:paraId="5DB5F133">
            <w:pPr>
              <w:widowControl/>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指市直单位召开的本系统全市性会议。</w:t>
            </w:r>
          </w:p>
        </w:tc>
        <w:tc>
          <w:tcPr>
            <w:tcW w:w="1738" w:type="dxa"/>
            <w:tcBorders>
              <w:top w:val="nil"/>
              <w:left w:val="nil"/>
              <w:bottom w:val="single" w:color="auto" w:sz="4" w:space="0"/>
              <w:right w:val="single" w:color="auto" w:sz="4" w:space="0"/>
            </w:tcBorders>
            <w:shd w:val="clear" w:color="auto" w:fill="auto"/>
            <w:vAlign w:val="center"/>
          </w:tcPr>
          <w:p w14:paraId="52BB3F7C">
            <w:pPr>
              <w:widowControl/>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不得超过2天。</w:t>
            </w:r>
          </w:p>
        </w:tc>
        <w:tc>
          <w:tcPr>
            <w:tcW w:w="2312" w:type="dxa"/>
            <w:tcBorders>
              <w:top w:val="nil"/>
              <w:left w:val="nil"/>
              <w:bottom w:val="single" w:color="auto" w:sz="4" w:space="0"/>
              <w:right w:val="single" w:color="auto" w:sz="4" w:space="0"/>
            </w:tcBorders>
            <w:shd w:val="clear" w:color="auto" w:fill="auto"/>
            <w:vAlign w:val="center"/>
          </w:tcPr>
          <w:p w14:paraId="2FC3BF9F">
            <w:pPr>
              <w:widowControl/>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一般不得超过200人，其中工作人员控制在代表人数的15%以内。</w:t>
            </w:r>
          </w:p>
        </w:tc>
        <w:tc>
          <w:tcPr>
            <w:tcW w:w="2003" w:type="dxa"/>
            <w:tcBorders>
              <w:top w:val="nil"/>
              <w:left w:val="nil"/>
              <w:bottom w:val="single" w:color="auto" w:sz="4" w:space="0"/>
              <w:right w:val="single" w:color="auto" w:sz="4" w:space="0"/>
            </w:tcBorders>
            <w:shd w:val="clear" w:color="auto" w:fill="auto"/>
            <w:vAlign w:val="center"/>
          </w:tcPr>
          <w:p w14:paraId="71628C52">
            <w:pPr>
              <w:widowControl/>
              <w:jc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280</w:t>
            </w:r>
          </w:p>
        </w:tc>
        <w:tc>
          <w:tcPr>
            <w:tcW w:w="1815" w:type="dxa"/>
            <w:tcBorders>
              <w:top w:val="nil"/>
              <w:left w:val="nil"/>
              <w:bottom w:val="single" w:color="auto" w:sz="4" w:space="0"/>
              <w:right w:val="single" w:color="auto" w:sz="4" w:space="0"/>
            </w:tcBorders>
            <w:shd w:val="clear" w:color="auto" w:fill="auto"/>
            <w:vAlign w:val="center"/>
          </w:tcPr>
          <w:p w14:paraId="14F6FD72">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170</w:t>
            </w:r>
          </w:p>
        </w:tc>
        <w:tc>
          <w:tcPr>
            <w:tcW w:w="1732" w:type="dxa"/>
            <w:tcBorders>
              <w:top w:val="nil"/>
              <w:left w:val="nil"/>
              <w:bottom w:val="single" w:color="auto" w:sz="4" w:space="0"/>
              <w:right w:val="single" w:color="auto" w:sz="4" w:space="0"/>
            </w:tcBorders>
            <w:shd w:val="clear" w:color="auto" w:fill="auto"/>
            <w:vAlign w:val="center"/>
          </w:tcPr>
          <w:p w14:paraId="53500A86">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200</w:t>
            </w:r>
          </w:p>
        </w:tc>
        <w:tc>
          <w:tcPr>
            <w:tcW w:w="1740" w:type="dxa"/>
            <w:tcBorders>
              <w:top w:val="nil"/>
              <w:left w:val="nil"/>
              <w:bottom w:val="single" w:color="auto" w:sz="4" w:space="0"/>
              <w:right w:val="single" w:color="auto" w:sz="4" w:space="0"/>
            </w:tcBorders>
            <w:shd w:val="clear" w:color="auto" w:fill="auto"/>
            <w:vAlign w:val="center"/>
          </w:tcPr>
          <w:p w14:paraId="1B355C13">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650</w:t>
            </w:r>
          </w:p>
        </w:tc>
      </w:tr>
      <w:tr w14:paraId="6642E4E0">
        <w:tblPrEx>
          <w:tblCellMar>
            <w:top w:w="0" w:type="dxa"/>
            <w:left w:w="108" w:type="dxa"/>
            <w:bottom w:w="0" w:type="dxa"/>
            <w:right w:w="108" w:type="dxa"/>
          </w:tblCellMar>
        </w:tblPrEx>
        <w:trPr>
          <w:trHeight w:val="58" w:hRule="atLeast"/>
        </w:trPr>
        <w:tc>
          <w:tcPr>
            <w:tcW w:w="522" w:type="dxa"/>
            <w:tcBorders>
              <w:top w:val="nil"/>
              <w:left w:val="single" w:color="auto" w:sz="4" w:space="0"/>
              <w:bottom w:val="single" w:color="auto" w:sz="4" w:space="0"/>
              <w:right w:val="single" w:color="auto" w:sz="4" w:space="0"/>
            </w:tcBorders>
            <w:shd w:val="clear" w:color="auto" w:fill="auto"/>
            <w:noWrap/>
            <w:vAlign w:val="center"/>
          </w:tcPr>
          <w:p w14:paraId="6B288FEA">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w:t>
            </w:r>
          </w:p>
        </w:tc>
        <w:tc>
          <w:tcPr>
            <w:tcW w:w="706" w:type="dxa"/>
            <w:tcBorders>
              <w:top w:val="nil"/>
              <w:left w:val="nil"/>
              <w:bottom w:val="single" w:color="auto" w:sz="4" w:space="0"/>
              <w:right w:val="single" w:color="auto" w:sz="4" w:space="0"/>
            </w:tcBorders>
            <w:shd w:val="clear" w:color="auto" w:fill="auto"/>
            <w:vAlign w:val="center"/>
          </w:tcPr>
          <w:p w14:paraId="418E6EC3">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三类会议</w:t>
            </w:r>
          </w:p>
        </w:tc>
        <w:tc>
          <w:tcPr>
            <w:tcW w:w="2094" w:type="dxa"/>
            <w:tcBorders>
              <w:top w:val="nil"/>
              <w:left w:val="nil"/>
              <w:bottom w:val="single" w:color="auto" w:sz="4" w:space="0"/>
              <w:right w:val="single" w:color="auto" w:sz="4" w:space="0"/>
            </w:tcBorders>
            <w:shd w:val="clear" w:color="auto" w:fill="auto"/>
            <w:vAlign w:val="center"/>
          </w:tcPr>
          <w:p w14:paraId="185ABBC9">
            <w:pPr>
              <w:widowControl/>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指除上述一、二类会议以外的其他业务性会议，包括小型研讨会、座谈会、评审会等。</w:t>
            </w:r>
          </w:p>
        </w:tc>
        <w:tc>
          <w:tcPr>
            <w:tcW w:w="1738" w:type="dxa"/>
            <w:tcBorders>
              <w:top w:val="nil"/>
              <w:left w:val="nil"/>
              <w:bottom w:val="single" w:color="auto" w:sz="4" w:space="0"/>
              <w:right w:val="single" w:color="auto" w:sz="4" w:space="0"/>
            </w:tcBorders>
            <w:shd w:val="clear" w:color="auto" w:fill="auto"/>
            <w:vAlign w:val="center"/>
          </w:tcPr>
          <w:p w14:paraId="55101EA1">
            <w:pPr>
              <w:widowControl/>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不得超过1天。传达、布置类会议会期不得超过半天。</w:t>
            </w:r>
          </w:p>
        </w:tc>
        <w:tc>
          <w:tcPr>
            <w:tcW w:w="2312" w:type="dxa"/>
            <w:tcBorders>
              <w:top w:val="nil"/>
              <w:left w:val="nil"/>
              <w:bottom w:val="single" w:color="auto" w:sz="4" w:space="0"/>
              <w:right w:val="single" w:color="auto" w:sz="4" w:space="0"/>
            </w:tcBorders>
            <w:shd w:val="clear" w:color="auto" w:fill="auto"/>
            <w:vAlign w:val="center"/>
          </w:tcPr>
          <w:p w14:paraId="5361F78B">
            <w:pPr>
              <w:widowControl/>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一般不得超过100人，其中工作人员控制在代表人数的10%以内。</w:t>
            </w:r>
          </w:p>
        </w:tc>
        <w:tc>
          <w:tcPr>
            <w:tcW w:w="2003" w:type="dxa"/>
            <w:tcBorders>
              <w:top w:val="nil"/>
              <w:left w:val="nil"/>
              <w:bottom w:val="single" w:color="auto" w:sz="4" w:space="0"/>
              <w:right w:val="single" w:color="auto" w:sz="4" w:space="0"/>
            </w:tcBorders>
            <w:shd w:val="clear" w:color="auto" w:fill="auto"/>
            <w:vAlign w:val="center"/>
          </w:tcPr>
          <w:p w14:paraId="32A7FC46">
            <w:pPr>
              <w:widowControl/>
              <w:jc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230</w:t>
            </w:r>
          </w:p>
        </w:tc>
        <w:tc>
          <w:tcPr>
            <w:tcW w:w="1815" w:type="dxa"/>
            <w:tcBorders>
              <w:top w:val="nil"/>
              <w:left w:val="nil"/>
              <w:bottom w:val="single" w:color="auto" w:sz="4" w:space="0"/>
              <w:right w:val="single" w:color="auto" w:sz="4" w:space="0"/>
            </w:tcBorders>
            <w:shd w:val="clear" w:color="auto" w:fill="auto"/>
            <w:vAlign w:val="center"/>
          </w:tcPr>
          <w:p w14:paraId="4AE6675A">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150</w:t>
            </w:r>
          </w:p>
        </w:tc>
        <w:tc>
          <w:tcPr>
            <w:tcW w:w="1732" w:type="dxa"/>
            <w:tcBorders>
              <w:top w:val="nil"/>
              <w:left w:val="nil"/>
              <w:bottom w:val="single" w:color="auto" w:sz="4" w:space="0"/>
              <w:right w:val="single" w:color="auto" w:sz="4" w:space="0"/>
            </w:tcBorders>
            <w:shd w:val="clear" w:color="auto" w:fill="auto"/>
            <w:vAlign w:val="center"/>
          </w:tcPr>
          <w:p w14:paraId="1ABCFE11">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170</w:t>
            </w:r>
          </w:p>
        </w:tc>
        <w:tc>
          <w:tcPr>
            <w:tcW w:w="1740" w:type="dxa"/>
            <w:tcBorders>
              <w:top w:val="nil"/>
              <w:left w:val="nil"/>
              <w:bottom w:val="single" w:color="auto" w:sz="4" w:space="0"/>
              <w:right w:val="single" w:color="auto" w:sz="4" w:space="0"/>
            </w:tcBorders>
            <w:shd w:val="clear" w:color="auto" w:fill="auto"/>
            <w:vAlign w:val="center"/>
          </w:tcPr>
          <w:p w14:paraId="5EC90481">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550</w:t>
            </w:r>
          </w:p>
        </w:tc>
      </w:tr>
    </w:tbl>
    <w:p w14:paraId="336155FE">
      <w:pPr>
        <w:pStyle w:val="3"/>
        <w:ind w:firstLine="480" w:firstLineChars="200"/>
        <w:contextualSpacing/>
        <w:rPr>
          <w:rFonts w:hint="eastAsia" w:ascii="宋体" w:hAnsi="宋体"/>
          <w:b/>
          <w:color w:val="FF0000"/>
          <w:sz w:val="24"/>
        </w:rPr>
      </w:pPr>
    </w:p>
    <w:p w14:paraId="030C8C3C">
      <w:pPr>
        <w:pStyle w:val="12"/>
        <w:ind w:firstLine="480"/>
        <w:jc w:val="left"/>
        <w:rPr>
          <w:rFonts w:hint="eastAsia" w:ascii="宋体" w:hAnsi="宋体"/>
          <w:b/>
          <w:bCs/>
          <w:color w:val="FF0000"/>
          <w:sz w:val="24"/>
          <w:szCs w:val="24"/>
          <w:lang w:val="en-US" w:eastAsia="zh-CN"/>
        </w:rPr>
      </w:pPr>
      <w:r>
        <w:rPr>
          <w:rFonts w:hint="eastAsia" w:ascii="宋体" w:hAnsi="宋体"/>
          <w:b/>
          <w:bCs/>
          <w:color w:val="FF0000"/>
          <w:sz w:val="24"/>
          <w:szCs w:val="24"/>
          <w:lang w:val="en-US" w:eastAsia="zh-CN"/>
        </w:rPr>
        <w:t>相关</w:t>
      </w:r>
      <w:r>
        <w:rPr>
          <w:rFonts w:hint="default" w:ascii="宋体" w:hAnsi="宋体"/>
          <w:b/>
          <w:bCs/>
          <w:color w:val="FF0000"/>
          <w:sz w:val="24"/>
          <w:szCs w:val="24"/>
          <w:lang w:val="en-US" w:eastAsia="zh-CN"/>
        </w:rPr>
        <w:t>说明</w:t>
      </w:r>
      <w:r>
        <w:rPr>
          <w:rFonts w:hint="eastAsia" w:ascii="宋体" w:hAnsi="宋体"/>
          <w:b/>
          <w:bCs/>
          <w:color w:val="FF0000"/>
          <w:sz w:val="24"/>
          <w:szCs w:val="24"/>
          <w:lang w:val="en-US" w:eastAsia="zh-CN"/>
        </w:rPr>
        <w:t>要求及报价要求（请供应商仔细阅读以下内容）：</w:t>
      </w:r>
    </w:p>
    <w:p w14:paraId="2A775819">
      <w:pPr>
        <w:pStyle w:val="12"/>
        <w:ind w:firstLine="480"/>
        <w:jc w:val="left"/>
        <w:rPr>
          <w:rFonts w:hint="eastAsia" w:ascii="宋体" w:hAnsi="宋体"/>
          <w:b w:val="0"/>
          <w:bCs w:val="0"/>
          <w:color w:val="auto"/>
          <w:sz w:val="20"/>
          <w:szCs w:val="21"/>
          <w:lang w:val="en-US" w:eastAsia="zh-CN"/>
        </w:rPr>
      </w:pPr>
      <w:r>
        <w:rPr>
          <w:rFonts w:hint="eastAsia" w:ascii="宋体" w:hAnsi="宋体"/>
          <w:b/>
          <w:bCs/>
          <w:color w:val="auto"/>
          <w:sz w:val="20"/>
          <w:szCs w:val="21"/>
          <w:lang w:val="en-US" w:eastAsia="zh-CN"/>
        </w:rPr>
        <w:t>1.相关说明</w:t>
      </w:r>
    </w:p>
    <w:p w14:paraId="0884F38D">
      <w:pPr>
        <w:pStyle w:val="12"/>
        <w:ind w:firstLine="480"/>
        <w:jc w:val="left"/>
        <w:rPr>
          <w:rFonts w:hint="eastAsia" w:ascii="宋体" w:hAnsi="宋体"/>
          <w:szCs w:val="21"/>
          <w:lang w:val="en-US" w:eastAsia="zh-CN"/>
        </w:rPr>
      </w:pPr>
      <w:r>
        <w:rPr>
          <w:rFonts w:hint="eastAsia" w:ascii="宋体" w:hAnsi="宋体"/>
          <w:szCs w:val="21"/>
          <w:lang w:val="en-US" w:eastAsia="zh-CN"/>
        </w:rPr>
        <w:t>（1）本市参会人员，原则上不安排住宿，可适当安排午休房；能够于会议结束日返回的外地参会人员，结束日原则上不安排住宿。</w:t>
      </w:r>
    </w:p>
    <w:p w14:paraId="7CBBF521">
      <w:pPr>
        <w:pStyle w:val="12"/>
        <w:ind w:firstLine="480"/>
        <w:jc w:val="left"/>
        <w:rPr>
          <w:rFonts w:hint="eastAsia" w:ascii="宋体" w:hAnsi="宋体"/>
          <w:szCs w:val="21"/>
          <w:lang w:val="en-US" w:eastAsia="zh-CN"/>
        </w:rPr>
      </w:pPr>
      <w:r>
        <w:rPr>
          <w:rFonts w:hint="eastAsia" w:ascii="宋体" w:hAnsi="宋体"/>
          <w:szCs w:val="21"/>
          <w:lang w:val="en-US" w:eastAsia="zh-CN"/>
        </w:rPr>
        <w:t>（2）会议费开支范围包括住宿费、伙食费、会议场地租金、交通费、文件印刷费、医药费等。交通费是指用于会议代表接送站，以及会议统一组织的代表考察、调研等发生的交通支出。会议代表参加会议发生的城市间交通费，按照差旅费管理办法的规定回单位报销。</w:t>
      </w:r>
    </w:p>
    <w:p w14:paraId="48E4ED3D">
      <w:pPr>
        <w:pStyle w:val="12"/>
        <w:ind w:firstLine="480"/>
        <w:jc w:val="left"/>
        <w:rPr>
          <w:rFonts w:hint="eastAsia" w:ascii="宋体" w:hAnsi="宋体"/>
          <w:szCs w:val="21"/>
          <w:lang w:val="en-US" w:eastAsia="zh-CN"/>
        </w:rPr>
      </w:pPr>
      <w:r>
        <w:rPr>
          <w:rFonts w:hint="eastAsia" w:ascii="宋体" w:hAnsi="宋体"/>
          <w:szCs w:val="21"/>
          <w:lang w:val="en-US" w:eastAsia="zh-CN"/>
        </w:rPr>
        <w:t>（3）会议费开支实行综合定额控制，各项费用之间可以调剂使用，在综合定额标准以内据实报销。安排午休房的，午休房费用控制在住宿费的50%以内。</w:t>
      </w:r>
    </w:p>
    <w:p w14:paraId="789D6C50">
      <w:pPr>
        <w:pStyle w:val="12"/>
        <w:ind w:firstLine="480"/>
        <w:jc w:val="left"/>
        <w:rPr>
          <w:rFonts w:hint="eastAsia" w:ascii="宋体" w:hAnsi="宋体"/>
          <w:szCs w:val="21"/>
          <w:lang w:val="en-US" w:eastAsia="zh-CN"/>
        </w:rPr>
      </w:pPr>
      <w:r>
        <w:rPr>
          <w:rFonts w:hint="eastAsia" w:ascii="宋体" w:hAnsi="宋体"/>
          <w:szCs w:val="21"/>
          <w:lang w:val="en-US" w:eastAsia="zh-CN"/>
        </w:rPr>
        <w:t>（4）不安排住宿的，会议费按扣除住宿费标准后的定额安排。</w:t>
      </w:r>
    </w:p>
    <w:p w14:paraId="78C92883">
      <w:pPr>
        <w:pStyle w:val="12"/>
        <w:ind w:firstLine="480"/>
        <w:jc w:val="left"/>
        <w:rPr>
          <w:rFonts w:hint="eastAsia" w:ascii="宋体" w:hAnsi="宋体"/>
          <w:szCs w:val="21"/>
          <w:lang w:val="en-US" w:eastAsia="zh-CN"/>
        </w:rPr>
      </w:pPr>
      <w:r>
        <w:rPr>
          <w:rFonts w:hint="eastAsia" w:ascii="宋体" w:hAnsi="宋体"/>
          <w:szCs w:val="21"/>
          <w:lang w:val="en-US" w:eastAsia="zh-CN"/>
        </w:rPr>
        <w:t>（5）其他费用包括会议室租金、交通费、文件印刷费、医药费等。</w:t>
      </w:r>
    </w:p>
    <w:p w14:paraId="0BCAE5E1">
      <w:pPr>
        <w:pStyle w:val="12"/>
        <w:ind w:firstLine="480"/>
        <w:jc w:val="left"/>
        <w:rPr>
          <w:rFonts w:hint="eastAsia" w:ascii="宋体" w:hAnsi="宋体"/>
          <w:szCs w:val="21"/>
          <w:lang w:val="en-US" w:eastAsia="zh-CN"/>
        </w:rPr>
      </w:pPr>
      <w:r>
        <w:rPr>
          <w:rFonts w:hint="eastAsia" w:ascii="宋体" w:hAnsi="宋体"/>
          <w:szCs w:val="21"/>
          <w:lang w:val="en-US" w:eastAsia="zh-CN"/>
        </w:rPr>
        <w:t>（6）会议用房以标准间为主，副厅级以上（含）人员可住套间，处级干部可安排单人标准间，其他人员两人一间标准间；会议用餐原则上安排自助餐，严格控制菜品种类、数量和份量。</w:t>
      </w:r>
    </w:p>
    <w:p w14:paraId="708F672F">
      <w:pPr>
        <w:pStyle w:val="12"/>
        <w:ind w:firstLine="480"/>
        <w:jc w:val="left"/>
        <w:rPr>
          <w:rFonts w:hint="eastAsia" w:ascii="宋体" w:hAnsi="宋体"/>
          <w:szCs w:val="21"/>
          <w:lang w:val="en-US" w:eastAsia="zh-CN"/>
        </w:rPr>
      </w:pPr>
      <w:r>
        <w:rPr>
          <w:rFonts w:hint="eastAsia" w:ascii="宋体" w:hAnsi="宋体"/>
          <w:szCs w:val="21"/>
          <w:lang w:val="en-US" w:eastAsia="zh-CN"/>
        </w:rPr>
        <w:t>（7）线上会议服务费用由采购人与入围供应商协商，按照单次会议或者单位时间确定具体收费内容和标准。</w:t>
      </w:r>
    </w:p>
    <w:p w14:paraId="775CE574">
      <w:pPr>
        <w:pStyle w:val="12"/>
        <w:ind w:firstLine="480"/>
        <w:jc w:val="left"/>
        <w:rPr>
          <w:rFonts w:hint="eastAsia" w:ascii="宋体" w:hAnsi="宋体"/>
          <w:b/>
          <w:bCs/>
          <w:szCs w:val="21"/>
          <w:lang w:val="en-US" w:eastAsia="zh-CN"/>
        </w:rPr>
      </w:pPr>
    </w:p>
    <w:p w14:paraId="501485CF">
      <w:pPr>
        <w:pStyle w:val="12"/>
        <w:ind w:firstLine="480"/>
        <w:jc w:val="left"/>
        <w:rPr>
          <w:rFonts w:hint="default" w:ascii="宋体" w:hAnsi="宋体"/>
          <w:b/>
          <w:bCs/>
          <w:szCs w:val="21"/>
          <w:lang w:val="en-US" w:eastAsia="zh-CN"/>
        </w:rPr>
      </w:pPr>
      <w:r>
        <w:rPr>
          <w:rFonts w:hint="eastAsia" w:ascii="宋体" w:hAnsi="宋体"/>
          <w:b/>
          <w:bCs/>
          <w:szCs w:val="21"/>
          <w:lang w:val="en-US" w:eastAsia="zh-CN"/>
        </w:rPr>
        <w:t>2.报价要求</w:t>
      </w:r>
    </w:p>
    <w:p w14:paraId="33253709">
      <w:pPr>
        <w:pStyle w:val="12"/>
        <w:ind w:firstLine="480"/>
        <w:jc w:val="left"/>
        <w:rPr>
          <w:rFonts w:hint="default" w:ascii="宋体" w:hAnsi="宋体"/>
          <w:szCs w:val="21"/>
          <w:lang w:val="en-US" w:eastAsia="zh-CN"/>
        </w:rPr>
      </w:pPr>
      <w:r>
        <w:rPr>
          <w:rFonts w:hint="eastAsia" w:ascii="宋体" w:hAnsi="宋体"/>
          <w:szCs w:val="21"/>
          <w:lang w:val="en-US" w:eastAsia="zh-CN"/>
        </w:rPr>
        <w:t>（1）请供应商填写对应会议类别的综合定额报价、住宿费报价、伙食费报价、其他费用报价。</w:t>
      </w:r>
    </w:p>
    <w:p w14:paraId="1ADD8CF7">
      <w:pPr>
        <w:pStyle w:val="12"/>
        <w:ind w:firstLine="480"/>
        <w:jc w:val="left"/>
        <w:rPr>
          <w:rFonts w:hint="eastAsia" w:ascii="宋体" w:hAnsi="宋体"/>
          <w:color w:val="FF0000"/>
          <w:szCs w:val="21"/>
          <w:lang w:val="en-US" w:eastAsia="zh-CN"/>
        </w:rPr>
      </w:pPr>
      <w:r>
        <w:rPr>
          <w:rFonts w:hint="eastAsia" w:ascii="宋体" w:hAnsi="宋体"/>
          <w:color w:val="FF0000"/>
          <w:szCs w:val="21"/>
          <w:lang w:val="en-US" w:eastAsia="zh-CN"/>
        </w:rPr>
        <w:t>（2）各供应商根据自身会议承接能力对应会议三级分类按“元/人·天”进行报价，即：具备何种会议承接能力，对应填报相应会议类别的报价；综合定额报价=住宿费报价+伙食费报价+其他费用报价，如住宿费报价、伙食费报价、其他费用报价的总计金额与所报综合定额价格不一致的，视为无效报价。供应商填报的综合定额报价不得超过“ 第三章 采购需求”综合定额标准上限（元/人·天）对应会议类别的上限报价，且至少填报一种会议类别的有效报价，否则作申请无效处理。供应商如未对其中一种或两种会议类别进行报价的，视为无法承接该类会议，入围后将不选择该供应商承接对应类别会议。</w:t>
      </w:r>
    </w:p>
    <w:p w14:paraId="6CE078C2">
      <w:pPr>
        <w:pStyle w:val="12"/>
        <w:ind w:firstLine="480"/>
        <w:jc w:val="left"/>
        <w:rPr>
          <w:rFonts w:hint="eastAsia" w:ascii="宋体" w:hAnsi="宋体"/>
          <w:color w:val="FF0000"/>
          <w:szCs w:val="21"/>
          <w:lang w:val="en-US" w:eastAsia="zh-CN"/>
        </w:rPr>
      </w:pPr>
      <w:r>
        <w:rPr>
          <w:rFonts w:hint="eastAsia" w:ascii="宋体" w:hAnsi="宋体"/>
          <w:color w:val="FF0000"/>
          <w:szCs w:val="21"/>
          <w:lang w:val="en-US" w:eastAsia="zh-CN"/>
        </w:rPr>
        <w:t>示例：供应商填报二类会议，住宿费填报350元，伙食费填报160元，其他费用填报120元，则综合定额为350+160+120=630元，此报价为有效报价。如采购人会议类别为二类会议，需安排午休房，则午休房费用控制在住宿费的50%以内，根据供应商填报的二类会议的价格计算，即午休房费用不得超过350*50%=175元/人。</w:t>
      </w:r>
    </w:p>
    <w:p w14:paraId="7E24A41D">
      <w:pPr>
        <w:pStyle w:val="12"/>
        <w:numPr>
          <w:ilvl w:val="0"/>
          <w:numId w:val="0"/>
        </w:numPr>
        <w:ind w:firstLine="400" w:firstLineChars="200"/>
        <w:jc w:val="left"/>
        <w:rPr>
          <w:rFonts w:hint="eastAsia" w:ascii="宋体" w:hAnsi="宋体"/>
          <w:szCs w:val="21"/>
          <w:lang w:val="en-US" w:eastAsia="zh-CN"/>
        </w:rPr>
      </w:pPr>
      <w:r>
        <w:rPr>
          <w:rFonts w:hint="eastAsia" w:ascii="宋体" w:hAnsi="宋体"/>
          <w:szCs w:val="21"/>
          <w:lang w:val="en-US" w:eastAsia="zh-CN"/>
        </w:rPr>
        <w:t>（3）由供应商根据征集文件所提供的资料自行测算报价；入围后，供应商的报价作为党政机关会议定点场所供应商在项目有效期内执行的价格。</w:t>
      </w:r>
    </w:p>
    <w:p w14:paraId="14D0F87F">
      <w:pPr>
        <w:pStyle w:val="12"/>
        <w:ind w:firstLine="400" w:firstLineChars="200"/>
        <w:jc w:val="left"/>
        <w:rPr>
          <w:rFonts w:hint="eastAsia" w:ascii="宋体" w:hAnsi="宋体"/>
          <w:szCs w:val="21"/>
          <w:lang w:val="en-US" w:eastAsia="zh-CN"/>
        </w:rPr>
      </w:pPr>
      <w:r>
        <w:rPr>
          <w:rFonts w:hint="eastAsia" w:ascii="宋体" w:hAnsi="宋体"/>
          <w:szCs w:val="21"/>
          <w:lang w:val="en-US" w:eastAsia="zh-CN"/>
        </w:rPr>
        <w:t>（4）供应商须按本项目“申请文件格式”中的格式报价。</w:t>
      </w:r>
    </w:p>
    <w:p w14:paraId="46F89256">
      <w:pPr>
        <w:pStyle w:val="12"/>
        <w:ind w:firstLine="480"/>
        <w:jc w:val="left"/>
        <w:rPr>
          <w:rFonts w:hint="default" w:ascii="宋体" w:hAnsi="宋体"/>
          <w:color w:val="FF0000"/>
          <w:szCs w:val="21"/>
          <w:lang w:val="en-US" w:eastAsia="zh-CN"/>
        </w:rPr>
      </w:pPr>
    </w:p>
    <w:p w14:paraId="218C7CE7">
      <w:pPr>
        <w:pStyle w:val="12"/>
        <w:jc w:val="left"/>
        <w:outlineLvl w:val="2"/>
        <w:rPr>
          <w:rFonts w:hint="eastAsia"/>
          <w:b/>
          <w:sz w:val="28"/>
          <w:lang w:val="en-US" w:eastAsia="zh-CN"/>
        </w:rPr>
      </w:pPr>
      <w:r>
        <w:rPr>
          <w:rFonts w:hint="eastAsia"/>
          <w:b/>
          <w:sz w:val="28"/>
          <w:lang w:val="en-US" w:eastAsia="zh-CN"/>
        </w:rPr>
        <w:t>二、会议室类型</w:t>
      </w:r>
    </w:p>
    <w:tbl>
      <w:tblPr>
        <w:tblStyle w:val="8"/>
        <w:tblW w:w="12646" w:type="dxa"/>
        <w:tblInd w:w="7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9"/>
        <w:gridCol w:w="2595"/>
        <w:gridCol w:w="3890"/>
        <w:gridCol w:w="4032"/>
      </w:tblGrid>
      <w:tr w14:paraId="7E2F0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2129" w:type="dxa"/>
            <w:shd w:val="clear" w:color="auto" w:fill="BDD6EE" w:themeFill="accent1" w:themeFillTint="66"/>
            <w:vAlign w:val="center"/>
          </w:tcPr>
          <w:p w14:paraId="5FC1469B">
            <w:pPr>
              <w:keepNext w:val="0"/>
              <w:keepLines w:val="0"/>
              <w:pageBreakBefore w:val="0"/>
              <w:widowControl/>
              <w:kinsoku w:val="0"/>
              <w:wordWrap/>
              <w:overflowPunct/>
              <w:topLinePunct w:val="0"/>
              <w:autoSpaceDE w:val="0"/>
              <w:autoSpaceDN w:val="0"/>
              <w:bidi w:val="0"/>
              <w:adjustRightInd w:val="0"/>
              <w:snapToGrid w:val="0"/>
              <w:spacing w:line="300" w:lineRule="exact"/>
              <w:jc w:val="center"/>
              <w:textAlignment w:val="baseline"/>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采购包</w:t>
            </w:r>
          </w:p>
        </w:tc>
        <w:tc>
          <w:tcPr>
            <w:tcW w:w="2595" w:type="dxa"/>
            <w:shd w:val="clear" w:color="auto" w:fill="BDD6EE" w:themeFill="accent1" w:themeFillTint="66"/>
            <w:vAlign w:val="center"/>
          </w:tcPr>
          <w:p w14:paraId="70AA8C8D">
            <w:pPr>
              <w:keepNext w:val="0"/>
              <w:keepLines w:val="0"/>
              <w:pageBreakBefore w:val="0"/>
              <w:widowControl/>
              <w:kinsoku w:val="0"/>
              <w:wordWrap/>
              <w:overflowPunct/>
              <w:topLinePunct w:val="0"/>
              <w:autoSpaceDE w:val="0"/>
              <w:autoSpaceDN w:val="0"/>
              <w:bidi w:val="0"/>
              <w:adjustRightInd w:val="0"/>
              <w:snapToGrid w:val="0"/>
              <w:spacing w:line="300" w:lineRule="exact"/>
              <w:jc w:val="center"/>
              <w:textAlignment w:val="baseline"/>
              <w:rPr>
                <w:rFonts w:hint="eastAsia" w:ascii="宋体" w:hAnsi="宋体" w:eastAsia="宋体" w:cs="宋体"/>
                <w:b/>
                <w:bCs/>
                <w:color w:val="000000"/>
                <w:kern w:val="0"/>
                <w:sz w:val="20"/>
                <w:szCs w:val="20"/>
                <w:lang w:val="en-US" w:eastAsia="zh-CN"/>
              </w:rPr>
            </w:pPr>
            <w:r>
              <w:rPr>
                <w:rFonts w:hint="eastAsia" w:ascii="宋体" w:hAnsi="宋体" w:eastAsia="宋体" w:cs="宋体"/>
                <w:b/>
                <w:bCs/>
                <w:color w:val="000000"/>
                <w:kern w:val="0"/>
                <w:sz w:val="20"/>
                <w:szCs w:val="20"/>
                <w:lang w:val="en-US" w:eastAsia="zh-CN"/>
              </w:rPr>
              <w:t>会议室类型</w:t>
            </w:r>
          </w:p>
        </w:tc>
        <w:tc>
          <w:tcPr>
            <w:tcW w:w="3890" w:type="dxa"/>
            <w:shd w:val="clear" w:color="auto" w:fill="BDD6EE" w:themeFill="accent1" w:themeFillTint="66"/>
            <w:vAlign w:val="center"/>
          </w:tcPr>
          <w:p w14:paraId="6F06C49C">
            <w:pPr>
              <w:keepNext w:val="0"/>
              <w:keepLines w:val="0"/>
              <w:pageBreakBefore w:val="0"/>
              <w:widowControl/>
              <w:kinsoku w:val="0"/>
              <w:wordWrap/>
              <w:overflowPunct/>
              <w:topLinePunct w:val="0"/>
              <w:autoSpaceDE w:val="0"/>
              <w:autoSpaceDN w:val="0"/>
              <w:bidi w:val="0"/>
              <w:adjustRightInd w:val="0"/>
              <w:snapToGrid w:val="0"/>
              <w:spacing w:line="300" w:lineRule="exact"/>
              <w:jc w:val="center"/>
              <w:textAlignment w:val="baseline"/>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最大容纳人数（人）</w:t>
            </w:r>
          </w:p>
        </w:tc>
        <w:tc>
          <w:tcPr>
            <w:tcW w:w="4032" w:type="dxa"/>
            <w:shd w:val="clear" w:color="auto" w:fill="BDD6EE" w:themeFill="accent1" w:themeFillTint="66"/>
            <w:vAlign w:val="center"/>
          </w:tcPr>
          <w:p w14:paraId="59DA33CF">
            <w:pPr>
              <w:keepNext w:val="0"/>
              <w:keepLines w:val="0"/>
              <w:pageBreakBefore w:val="0"/>
              <w:widowControl/>
              <w:kinsoku w:val="0"/>
              <w:wordWrap/>
              <w:overflowPunct/>
              <w:topLinePunct w:val="0"/>
              <w:autoSpaceDE w:val="0"/>
              <w:autoSpaceDN w:val="0"/>
              <w:bidi w:val="0"/>
              <w:adjustRightInd w:val="0"/>
              <w:snapToGrid w:val="0"/>
              <w:spacing w:line="300" w:lineRule="exact"/>
              <w:jc w:val="center"/>
              <w:textAlignment w:val="baseline"/>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协议上限价格</w:t>
            </w:r>
            <w:r>
              <w:rPr>
                <w:rFonts w:hint="eastAsia" w:ascii="宋体" w:hAnsi="宋体" w:eastAsia="宋体" w:cs="宋体"/>
                <w:b/>
                <w:bCs/>
                <w:kern w:val="0"/>
                <w:sz w:val="20"/>
                <w:szCs w:val="20"/>
              </w:rPr>
              <w:t>（元/间·半天）</w:t>
            </w:r>
          </w:p>
        </w:tc>
      </w:tr>
      <w:tr w14:paraId="76335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2129" w:type="dxa"/>
            <w:shd w:val="clear" w:color="auto" w:fill="auto"/>
            <w:noWrap/>
            <w:vAlign w:val="center"/>
          </w:tcPr>
          <w:p w14:paraId="39843C2F">
            <w:pPr>
              <w:keepNext w:val="0"/>
              <w:keepLines w:val="0"/>
              <w:pageBreakBefore w:val="0"/>
              <w:widowControl/>
              <w:kinsoku w:val="0"/>
              <w:wordWrap/>
              <w:overflowPunct/>
              <w:topLinePunct w:val="0"/>
              <w:autoSpaceDE w:val="0"/>
              <w:autoSpaceDN w:val="0"/>
              <w:bidi w:val="0"/>
              <w:adjustRightInd w:val="0"/>
              <w:snapToGrid w:val="0"/>
              <w:spacing w:line="300" w:lineRule="exact"/>
              <w:jc w:val="center"/>
              <w:textAlignment w:val="baseline"/>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2595" w:type="dxa"/>
            <w:shd w:val="clear" w:color="auto" w:fill="auto"/>
            <w:vAlign w:val="center"/>
          </w:tcPr>
          <w:p w14:paraId="7265B2D8">
            <w:pPr>
              <w:keepNext w:val="0"/>
              <w:keepLines w:val="0"/>
              <w:pageBreakBefore w:val="0"/>
              <w:widowControl/>
              <w:kinsoku w:val="0"/>
              <w:wordWrap/>
              <w:overflowPunct/>
              <w:topLinePunct w:val="0"/>
              <w:autoSpaceDE w:val="0"/>
              <w:autoSpaceDN w:val="0"/>
              <w:bidi w:val="0"/>
              <w:adjustRightInd w:val="0"/>
              <w:snapToGrid w:val="0"/>
              <w:spacing w:line="300" w:lineRule="exact"/>
              <w:jc w:val="center"/>
              <w:textAlignment w:val="baseline"/>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大会议室</w:t>
            </w:r>
          </w:p>
        </w:tc>
        <w:tc>
          <w:tcPr>
            <w:tcW w:w="3890" w:type="dxa"/>
            <w:shd w:val="clear" w:color="auto" w:fill="auto"/>
            <w:vAlign w:val="center"/>
          </w:tcPr>
          <w:p w14:paraId="2FBB6BEB">
            <w:pPr>
              <w:keepNext w:val="0"/>
              <w:keepLines w:val="0"/>
              <w:pageBreakBefore w:val="0"/>
              <w:widowControl/>
              <w:kinsoku w:val="0"/>
              <w:wordWrap/>
              <w:overflowPunct/>
              <w:topLinePunct w:val="0"/>
              <w:autoSpaceDE w:val="0"/>
              <w:autoSpaceDN w:val="0"/>
              <w:bidi w:val="0"/>
              <w:adjustRightInd w:val="0"/>
              <w:snapToGrid w:val="0"/>
              <w:spacing w:line="300" w:lineRule="exact"/>
              <w:jc w:val="center"/>
              <w:textAlignment w:val="baseline"/>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w:t>
            </w:r>
            <w:r>
              <w:rPr>
                <w:rFonts w:hint="eastAsia" w:ascii="宋体" w:hAnsi="宋体" w:eastAsia="宋体" w:cs="宋体"/>
                <w:color w:val="000000"/>
                <w:kern w:val="0"/>
                <w:sz w:val="20"/>
                <w:szCs w:val="20"/>
                <w:lang w:val="en-US" w:eastAsia="zh-CN"/>
              </w:rPr>
              <w:t>2</w:t>
            </w:r>
            <w:r>
              <w:rPr>
                <w:rFonts w:hint="eastAsia" w:ascii="宋体" w:hAnsi="宋体" w:eastAsia="宋体" w:cs="宋体"/>
                <w:color w:val="000000"/>
                <w:kern w:val="0"/>
                <w:sz w:val="20"/>
                <w:szCs w:val="20"/>
              </w:rPr>
              <w:t>00</w:t>
            </w:r>
          </w:p>
        </w:tc>
        <w:tc>
          <w:tcPr>
            <w:tcW w:w="4032" w:type="dxa"/>
            <w:vAlign w:val="center"/>
          </w:tcPr>
          <w:p w14:paraId="477EBBB1">
            <w:pPr>
              <w:keepNext w:val="0"/>
              <w:keepLines w:val="0"/>
              <w:pageBreakBefore w:val="0"/>
              <w:widowControl/>
              <w:kinsoku w:val="0"/>
              <w:wordWrap/>
              <w:overflowPunct/>
              <w:topLinePunct w:val="0"/>
              <w:autoSpaceDE w:val="0"/>
              <w:autoSpaceDN w:val="0"/>
              <w:bidi w:val="0"/>
              <w:adjustRightInd w:val="0"/>
              <w:snapToGrid w:val="0"/>
              <w:spacing w:line="300" w:lineRule="exact"/>
              <w:jc w:val="center"/>
              <w:textAlignment w:val="baseline"/>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150000</w:t>
            </w:r>
          </w:p>
        </w:tc>
      </w:tr>
      <w:tr w14:paraId="4C64B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2129" w:type="dxa"/>
            <w:shd w:val="clear" w:color="auto" w:fill="auto"/>
            <w:noWrap/>
            <w:vAlign w:val="center"/>
          </w:tcPr>
          <w:p w14:paraId="0C757B97">
            <w:pPr>
              <w:keepNext w:val="0"/>
              <w:keepLines w:val="0"/>
              <w:pageBreakBefore w:val="0"/>
              <w:widowControl/>
              <w:kinsoku w:val="0"/>
              <w:wordWrap/>
              <w:overflowPunct/>
              <w:topLinePunct w:val="0"/>
              <w:autoSpaceDE w:val="0"/>
              <w:autoSpaceDN w:val="0"/>
              <w:bidi w:val="0"/>
              <w:adjustRightInd w:val="0"/>
              <w:snapToGrid w:val="0"/>
              <w:spacing w:line="300" w:lineRule="exact"/>
              <w:jc w:val="center"/>
              <w:textAlignment w:val="baseline"/>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5</w:t>
            </w:r>
          </w:p>
        </w:tc>
        <w:tc>
          <w:tcPr>
            <w:tcW w:w="2595" w:type="dxa"/>
            <w:shd w:val="clear" w:color="auto" w:fill="auto"/>
            <w:vAlign w:val="center"/>
          </w:tcPr>
          <w:p w14:paraId="5F32FEA5">
            <w:pPr>
              <w:keepNext w:val="0"/>
              <w:keepLines w:val="0"/>
              <w:pageBreakBefore w:val="0"/>
              <w:widowControl/>
              <w:kinsoku w:val="0"/>
              <w:wordWrap/>
              <w:overflowPunct/>
              <w:topLinePunct w:val="0"/>
              <w:autoSpaceDE w:val="0"/>
              <w:autoSpaceDN w:val="0"/>
              <w:bidi w:val="0"/>
              <w:adjustRightInd w:val="0"/>
              <w:snapToGrid w:val="0"/>
              <w:spacing w:line="300" w:lineRule="exact"/>
              <w:jc w:val="center"/>
              <w:textAlignment w:val="baseline"/>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中会议室</w:t>
            </w:r>
          </w:p>
        </w:tc>
        <w:tc>
          <w:tcPr>
            <w:tcW w:w="3890" w:type="dxa"/>
            <w:shd w:val="clear" w:color="auto" w:fill="auto"/>
            <w:vAlign w:val="center"/>
          </w:tcPr>
          <w:p w14:paraId="6FA613F0">
            <w:pPr>
              <w:keepNext w:val="0"/>
              <w:keepLines w:val="0"/>
              <w:pageBreakBefore w:val="0"/>
              <w:widowControl/>
              <w:kinsoku w:val="0"/>
              <w:wordWrap/>
              <w:overflowPunct/>
              <w:topLinePunct w:val="0"/>
              <w:autoSpaceDE w:val="0"/>
              <w:autoSpaceDN w:val="0"/>
              <w:bidi w:val="0"/>
              <w:adjustRightInd w:val="0"/>
              <w:snapToGrid w:val="0"/>
              <w:spacing w:line="300" w:lineRule="exact"/>
              <w:jc w:val="center"/>
              <w:textAlignment w:val="baseline"/>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100</w:t>
            </w:r>
            <w:r>
              <w:rPr>
                <w:rFonts w:hint="eastAsia" w:ascii="宋体" w:hAnsi="宋体" w:eastAsia="宋体" w:cs="宋体"/>
                <w:color w:val="000000"/>
                <w:kern w:val="0"/>
                <w:sz w:val="20"/>
                <w:szCs w:val="20"/>
              </w:rPr>
              <w:t>≤人数</w:t>
            </w:r>
            <w:r>
              <w:rPr>
                <w:rFonts w:hint="eastAsia" w:ascii="宋体" w:hAnsi="宋体" w:eastAsia="宋体" w:cs="宋体"/>
                <w:color w:val="000000"/>
                <w:kern w:val="0"/>
                <w:sz w:val="20"/>
                <w:szCs w:val="20"/>
                <w:lang w:val="en-US" w:eastAsia="zh-CN"/>
              </w:rPr>
              <w:t>＜200</w:t>
            </w:r>
          </w:p>
        </w:tc>
        <w:tc>
          <w:tcPr>
            <w:tcW w:w="4032" w:type="dxa"/>
            <w:vAlign w:val="center"/>
          </w:tcPr>
          <w:p w14:paraId="312B7636">
            <w:pPr>
              <w:keepNext w:val="0"/>
              <w:keepLines w:val="0"/>
              <w:pageBreakBefore w:val="0"/>
              <w:widowControl/>
              <w:kinsoku w:val="0"/>
              <w:wordWrap/>
              <w:overflowPunct/>
              <w:topLinePunct w:val="0"/>
              <w:autoSpaceDE w:val="0"/>
              <w:autoSpaceDN w:val="0"/>
              <w:bidi w:val="0"/>
              <w:adjustRightInd w:val="0"/>
              <w:snapToGrid w:val="0"/>
              <w:spacing w:line="300" w:lineRule="exact"/>
              <w:jc w:val="center"/>
              <w:textAlignment w:val="baseline"/>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6</w:t>
            </w:r>
            <w:r>
              <w:rPr>
                <w:rFonts w:hint="eastAsia" w:ascii="宋体" w:hAnsi="宋体" w:eastAsia="宋体" w:cs="宋体"/>
                <w:color w:val="000000"/>
                <w:kern w:val="0"/>
                <w:sz w:val="20"/>
                <w:szCs w:val="20"/>
              </w:rPr>
              <w:t>0000</w:t>
            </w:r>
          </w:p>
        </w:tc>
      </w:tr>
      <w:tr w14:paraId="52C0D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2129" w:type="dxa"/>
            <w:shd w:val="clear" w:color="auto" w:fill="auto"/>
            <w:noWrap/>
            <w:vAlign w:val="center"/>
          </w:tcPr>
          <w:p w14:paraId="21C218FE">
            <w:pPr>
              <w:keepNext w:val="0"/>
              <w:keepLines w:val="0"/>
              <w:pageBreakBefore w:val="0"/>
              <w:widowControl/>
              <w:kinsoku w:val="0"/>
              <w:wordWrap/>
              <w:overflowPunct/>
              <w:topLinePunct w:val="0"/>
              <w:autoSpaceDE w:val="0"/>
              <w:autoSpaceDN w:val="0"/>
              <w:bidi w:val="0"/>
              <w:adjustRightInd w:val="0"/>
              <w:snapToGrid w:val="0"/>
              <w:spacing w:line="300" w:lineRule="exact"/>
              <w:jc w:val="center"/>
              <w:textAlignment w:val="baseline"/>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w:t>
            </w:r>
          </w:p>
        </w:tc>
        <w:tc>
          <w:tcPr>
            <w:tcW w:w="2595" w:type="dxa"/>
            <w:shd w:val="clear" w:color="auto" w:fill="auto"/>
            <w:vAlign w:val="center"/>
          </w:tcPr>
          <w:p w14:paraId="7184808F">
            <w:pPr>
              <w:keepNext w:val="0"/>
              <w:keepLines w:val="0"/>
              <w:pageBreakBefore w:val="0"/>
              <w:widowControl/>
              <w:kinsoku w:val="0"/>
              <w:wordWrap/>
              <w:overflowPunct/>
              <w:topLinePunct w:val="0"/>
              <w:autoSpaceDE w:val="0"/>
              <w:autoSpaceDN w:val="0"/>
              <w:bidi w:val="0"/>
              <w:adjustRightInd w:val="0"/>
              <w:snapToGrid w:val="0"/>
              <w:spacing w:line="300" w:lineRule="exact"/>
              <w:jc w:val="center"/>
              <w:textAlignment w:val="baseline"/>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小会议室</w:t>
            </w:r>
          </w:p>
        </w:tc>
        <w:tc>
          <w:tcPr>
            <w:tcW w:w="3890" w:type="dxa"/>
            <w:shd w:val="clear" w:color="auto" w:fill="auto"/>
            <w:vAlign w:val="center"/>
          </w:tcPr>
          <w:p w14:paraId="03875731">
            <w:pPr>
              <w:keepNext w:val="0"/>
              <w:keepLines w:val="0"/>
              <w:pageBreakBefore w:val="0"/>
              <w:widowControl/>
              <w:kinsoku w:val="0"/>
              <w:wordWrap/>
              <w:overflowPunct/>
              <w:topLinePunct w:val="0"/>
              <w:autoSpaceDE w:val="0"/>
              <w:autoSpaceDN w:val="0"/>
              <w:bidi w:val="0"/>
              <w:adjustRightInd w:val="0"/>
              <w:snapToGrid w:val="0"/>
              <w:spacing w:line="300" w:lineRule="exact"/>
              <w:jc w:val="center"/>
              <w:textAlignment w:val="baseline"/>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＜100</w:t>
            </w:r>
          </w:p>
        </w:tc>
        <w:tc>
          <w:tcPr>
            <w:tcW w:w="4032" w:type="dxa"/>
            <w:vAlign w:val="center"/>
          </w:tcPr>
          <w:p w14:paraId="2119306C">
            <w:pPr>
              <w:keepNext w:val="0"/>
              <w:keepLines w:val="0"/>
              <w:pageBreakBefore w:val="0"/>
              <w:widowControl/>
              <w:kinsoku w:val="0"/>
              <w:wordWrap/>
              <w:overflowPunct/>
              <w:topLinePunct w:val="0"/>
              <w:autoSpaceDE w:val="0"/>
              <w:autoSpaceDN w:val="0"/>
              <w:bidi w:val="0"/>
              <w:adjustRightInd w:val="0"/>
              <w:snapToGrid w:val="0"/>
              <w:spacing w:line="300" w:lineRule="exact"/>
              <w:jc w:val="center"/>
              <w:textAlignment w:val="baseline"/>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10000</w:t>
            </w:r>
          </w:p>
        </w:tc>
      </w:tr>
    </w:tbl>
    <w:p w14:paraId="56C89FA6">
      <w:pPr>
        <w:pStyle w:val="3"/>
        <w:ind w:firstLine="480" w:firstLineChars="200"/>
        <w:contextualSpacing/>
        <w:rPr>
          <w:rFonts w:ascii="宋体" w:hAnsi="宋体"/>
          <w:b/>
          <w:color w:val="FF0000"/>
          <w:sz w:val="24"/>
        </w:rPr>
      </w:pPr>
    </w:p>
    <w:p w14:paraId="4F89E8E7">
      <w:pPr>
        <w:pStyle w:val="12"/>
        <w:ind w:firstLine="480"/>
        <w:jc w:val="left"/>
        <w:rPr>
          <w:rFonts w:hint="eastAsia" w:ascii="宋体" w:hAnsi="宋体"/>
          <w:b/>
          <w:bCs/>
          <w:color w:val="FF0000"/>
          <w:sz w:val="24"/>
          <w:szCs w:val="24"/>
          <w:lang w:val="en-US" w:eastAsia="zh-CN"/>
        </w:rPr>
      </w:pPr>
      <w:r>
        <w:rPr>
          <w:rFonts w:hint="eastAsia" w:ascii="宋体" w:hAnsi="宋体"/>
          <w:b/>
          <w:bCs/>
          <w:color w:val="FF0000"/>
          <w:sz w:val="24"/>
          <w:szCs w:val="24"/>
          <w:lang w:val="en-US" w:eastAsia="zh-CN"/>
        </w:rPr>
        <w:t>报价要求（请供应商仔细阅读以下内容）：</w:t>
      </w:r>
    </w:p>
    <w:p w14:paraId="70010E19">
      <w:pPr>
        <w:pStyle w:val="12"/>
        <w:ind w:firstLine="480"/>
        <w:jc w:val="left"/>
        <w:rPr>
          <w:rFonts w:hint="eastAsia" w:ascii="宋体" w:hAnsi="宋体"/>
          <w:szCs w:val="21"/>
          <w:lang w:val="en-US" w:eastAsia="zh-CN"/>
        </w:rPr>
      </w:pPr>
      <w:r>
        <w:rPr>
          <w:rFonts w:hint="eastAsia" w:ascii="宋体" w:hAnsi="宋体"/>
          <w:szCs w:val="21"/>
          <w:lang w:val="en-US" w:eastAsia="zh-CN"/>
        </w:rPr>
        <w:t>1.最大容纳人数填报可容纳会议人数的上限。</w:t>
      </w:r>
    </w:p>
    <w:p w14:paraId="4894C763">
      <w:pPr>
        <w:pStyle w:val="12"/>
        <w:ind w:firstLine="480"/>
        <w:jc w:val="left"/>
        <w:rPr>
          <w:rFonts w:hint="eastAsia" w:ascii="宋体" w:hAnsi="宋体"/>
          <w:szCs w:val="21"/>
          <w:lang w:val="en-US" w:eastAsia="zh-CN"/>
        </w:rPr>
      </w:pPr>
      <w:r>
        <w:rPr>
          <w:rFonts w:hint="eastAsia" w:ascii="宋体" w:hAnsi="宋体"/>
          <w:szCs w:val="21"/>
          <w:lang w:val="en-US" w:eastAsia="zh-CN"/>
        </w:rPr>
        <w:t>2.各供应商须注明会场布置方式，如：剧场式、课桌式、鱼骨式等。</w:t>
      </w:r>
    </w:p>
    <w:p w14:paraId="2A14FEA9">
      <w:pPr>
        <w:pStyle w:val="12"/>
        <w:ind w:firstLine="480"/>
        <w:jc w:val="left"/>
        <w:rPr>
          <w:rFonts w:hint="eastAsia" w:ascii="宋体" w:hAnsi="宋体"/>
          <w:szCs w:val="21"/>
          <w:lang w:val="en-US" w:eastAsia="zh-CN"/>
        </w:rPr>
      </w:pPr>
      <w:r>
        <w:rPr>
          <w:rFonts w:hint="eastAsia" w:ascii="宋体" w:hAnsi="宋体"/>
          <w:szCs w:val="21"/>
          <w:lang w:val="en-US" w:eastAsia="zh-CN"/>
        </w:rPr>
        <w:t>3.各供应商根据“第三章 采购需求 二、会议室类型”中能满足的对应会议室类型填报会议室报价，请务必严格按照最大容纳人数严格区分会议室类型。</w:t>
      </w:r>
    </w:p>
    <w:p w14:paraId="15B6C100">
      <w:pPr>
        <w:pStyle w:val="12"/>
        <w:ind w:firstLine="480"/>
        <w:jc w:val="left"/>
        <w:rPr>
          <w:rFonts w:hint="eastAsia" w:ascii="宋体" w:hAnsi="宋体"/>
          <w:color w:val="FF0000"/>
          <w:szCs w:val="21"/>
          <w:lang w:val="en-US" w:eastAsia="zh-CN"/>
        </w:rPr>
      </w:pPr>
      <w:r>
        <w:rPr>
          <w:rFonts w:hint="eastAsia" w:ascii="宋体" w:hAnsi="宋体"/>
          <w:color w:val="FF0000"/>
          <w:szCs w:val="21"/>
          <w:lang w:val="en-US" w:eastAsia="zh-CN"/>
        </w:rPr>
        <w:t>4.各供应商至少须填报一种会议室的有效报价，否则作申请无效处理。</w:t>
      </w:r>
    </w:p>
    <w:p w14:paraId="3A2258B4">
      <w:pPr>
        <w:pStyle w:val="12"/>
        <w:ind w:firstLine="480"/>
        <w:jc w:val="left"/>
        <w:rPr>
          <w:rFonts w:hint="eastAsia" w:ascii="宋体" w:hAnsi="宋体"/>
          <w:szCs w:val="21"/>
          <w:lang w:val="en-US" w:eastAsia="zh-CN"/>
        </w:rPr>
      </w:pPr>
      <w:r>
        <w:rPr>
          <w:rFonts w:hint="eastAsia" w:ascii="宋体" w:hAnsi="宋体"/>
          <w:szCs w:val="21"/>
          <w:lang w:val="en-US" w:eastAsia="zh-CN"/>
        </w:rPr>
        <w:t>5.由供应商根据征集文件所提供的资料自行测算报价；入围后，供应商的报价作为党政机关会议定点场所供应商在项目有效期内执行的价格。</w:t>
      </w:r>
    </w:p>
    <w:p w14:paraId="7FC8E569">
      <w:pPr>
        <w:pStyle w:val="12"/>
        <w:ind w:firstLine="480"/>
        <w:jc w:val="left"/>
        <w:rPr>
          <w:rFonts w:hint="eastAsia" w:ascii="宋体" w:hAnsi="宋体"/>
          <w:szCs w:val="21"/>
          <w:lang w:val="en-US" w:eastAsia="zh-CN"/>
        </w:rPr>
      </w:pPr>
      <w:r>
        <w:rPr>
          <w:rFonts w:hint="eastAsia" w:ascii="宋体" w:hAnsi="宋体"/>
          <w:szCs w:val="21"/>
          <w:lang w:val="en-US" w:eastAsia="zh-CN"/>
        </w:rPr>
        <w:t>6.供应商须按本项目“申请文件格式”中的格式报价。</w:t>
      </w:r>
    </w:p>
    <w:p w14:paraId="595C31E9">
      <w:pPr>
        <w:pStyle w:val="12"/>
        <w:ind w:firstLine="480"/>
        <w:jc w:val="left"/>
        <w:rPr>
          <w:rFonts w:hint="eastAsia" w:ascii="宋体" w:hAnsi="宋体"/>
          <w:szCs w:val="21"/>
          <w:lang w:val="en-US" w:eastAsia="zh-CN"/>
        </w:rPr>
      </w:pPr>
    </w:p>
    <w:p w14:paraId="7949446C">
      <w:pPr>
        <w:pStyle w:val="12"/>
        <w:ind w:firstLine="480"/>
        <w:jc w:val="left"/>
        <w:rPr>
          <w:rFonts w:hint="eastAsia" w:ascii="宋体" w:hAnsi="宋体"/>
          <w:szCs w:val="21"/>
          <w:lang w:val="en-US" w:eastAsia="zh-CN"/>
        </w:rPr>
      </w:pPr>
    </w:p>
    <w:p w14:paraId="7C85F099">
      <w:pPr>
        <w:pStyle w:val="12"/>
        <w:ind w:firstLine="480"/>
        <w:jc w:val="left"/>
        <w:rPr>
          <w:rFonts w:hint="eastAsia" w:ascii="宋体" w:hAnsi="宋体"/>
          <w:szCs w:val="21"/>
          <w:lang w:val="en-US" w:eastAsia="zh-CN"/>
        </w:rPr>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pPr>
    </w:p>
    <w:p w14:paraId="060BC794">
      <w:pPr>
        <w:pStyle w:val="12"/>
        <w:jc w:val="center"/>
        <w:outlineLvl w:val="1"/>
        <w:rPr>
          <w:b/>
          <w:sz w:val="36"/>
        </w:rPr>
      </w:pPr>
      <w:r>
        <w:rPr>
          <w:b/>
          <w:sz w:val="36"/>
        </w:rPr>
        <w:t>第</w:t>
      </w:r>
      <w:r>
        <w:rPr>
          <w:rFonts w:hint="eastAsia"/>
          <w:b/>
          <w:sz w:val="36"/>
          <w:lang w:val="en-US" w:eastAsia="zh-CN"/>
        </w:rPr>
        <w:t>四</w:t>
      </w:r>
      <w:r>
        <w:rPr>
          <w:b/>
          <w:sz w:val="36"/>
        </w:rPr>
        <w:t xml:space="preserve">章 </w:t>
      </w:r>
      <w:r>
        <w:rPr>
          <w:rFonts w:hint="eastAsia"/>
          <w:b/>
          <w:sz w:val="36"/>
        </w:rPr>
        <w:t>项目履约要求</w:t>
      </w:r>
    </w:p>
    <w:p w14:paraId="3EFD3998">
      <w:pPr>
        <w:pStyle w:val="3"/>
        <w:ind w:firstLine="562" w:firstLineChars="200"/>
        <w:contextualSpacing/>
        <w:rPr>
          <w:rFonts w:hint="eastAsia" w:asciiTheme="minorHAnsi" w:hAnsiTheme="minorHAnsi" w:eastAsiaTheme="minorEastAsia" w:cstheme="minorBidi"/>
          <w:b/>
          <w:sz w:val="28"/>
          <w:szCs w:val="20"/>
          <w:lang w:val="en-US" w:eastAsia="zh-CN"/>
        </w:rPr>
      </w:pPr>
      <w:r>
        <w:rPr>
          <w:rFonts w:hint="eastAsia" w:asciiTheme="minorHAnsi" w:hAnsiTheme="minorHAnsi" w:eastAsiaTheme="minorEastAsia" w:cstheme="minorBidi"/>
          <w:b/>
          <w:sz w:val="28"/>
          <w:szCs w:val="20"/>
          <w:lang w:val="en-US" w:eastAsia="zh-CN"/>
        </w:rPr>
        <w:t xml:space="preserve">一、接待服务要求 </w:t>
      </w:r>
    </w:p>
    <w:p w14:paraId="622F5C7D">
      <w:pPr>
        <w:pStyle w:val="12"/>
        <w:ind w:firstLine="480"/>
        <w:jc w:val="left"/>
        <w:rPr>
          <w:rFonts w:hint="eastAsia" w:ascii="宋体" w:hAnsi="宋体"/>
          <w:szCs w:val="21"/>
          <w:lang w:val="en-US" w:eastAsia="zh-CN"/>
        </w:rPr>
      </w:pPr>
      <w:r>
        <w:rPr>
          <w:rFonts w:hint="eastAsia" w:ascii="宋体" w:hAnsi="宋体"/>
          <w:szCs w:val="21"/>
          <w:lang w:val="en-US" w:eastAsia="zh-CN"/>
        </w:rPr>
        <w:t>（一）前厅</w:t>
      </w:r>
    </w:p>
    <w:p w14:paraId="54EF84A6">
      <w:pPr>
        <w:pStyle w:val="12"/>
        <w:ind w:firstLine="480"/>
        <w:jc w:val="left"/>
        <w:rPr>
          <w:rFonts w:hint="eastAsia" w:ascii="宋体" w:hAnsi="宋体"/>
          <w:szCs w:val="21"/>
          <w:lang w:val="en-US" w:eastAsia="zh-CN"/>
        </w:rPr>
      </w:pPr>
      <w:r>
        <w:rPr>
          <w:rFonts w:hint="eastAsia" w:ascii="宋体" w:hAnsi="宋体"/>
          <w:szCs w:val="21"/>
          <w:lang w:val="en-US" w:eastAsia="zh-CN"/>
        </w:rPr>
        <w:t>1.有与供应商规模、星级标准相适应的前厅和总服务台；</w:t>
      </w:r>
    </w:p>
    <w:p w14:paraId="6206FE30">
      <w:pPr>
        <w:pStyle w:val="12"/>
        <w:ind w:firstLine="480"/>
        <w:jc w:val="left"/>
        <w:rPr>
          <w:rFonts w:hint="eastAsia" w:ascii="宋体" w:hAnsi="宋体"/>
          <w:szCs w:val="21"/>
          <w:lang w:val="en-US" w:eastAsia="zh-CN"/>
        </w:rPr>
      </w:pPr>
      <w:r>
        <w:rPr>
          <w:rFonts w:hint="eastAsia" w:ascii="宋体" w:hAnsi="宋体"/>
          <w:szCs w:val="21"/>
          <w:lang w:val="en-US" w:eastAsia="zh-CN"/>
        </w:rPr>
        <w:t>2.总服务台24小时有工作人员在岗，提供接待、问询和结账服务；</w:t>
      </w:r>
    </w:p>
    <w:p w14:paraId="70608643">
      <w:pPr>
        <w:pStyle w:val="12"/>
        <w:ind w:firstLine="480"/>
        <w:jc w:val="left"/>
        <w:rPr>
          <w:rFonts w:hint="eastAsia" w:ascii="宋体" w:hAnsi="宋体"/>
          <w:szCs w:val="21"/>
          <w:lang w:val="en-US" w:eastAsia="zh-CN"/>
        </w:rPr>
      </w:pPr>
      <w:r>
        <w:rPr>
          <w:rFonts w:hint="eastAsia" w:ascii="宋体" w:hAnsi="宋体"/>
          <w:szCs w:val="21"/>
          <w:lang w:val="en-US" w:eastAsia="zh-CN"/>
        </w:rPr>
        <w:t>3.提供留言服务；</w:t>
      </w:r>
    </w:p>
    <w:p w14:paraId="525CF4CD">
      <w:pPr>
        <w:pStyle w:val="12"/>
        <w:ind w:firstLine="480"/>
        <w:jc w:val="left"/>
        <w:rPr>
          <w:rFonts w:hint="eastAsia" w:ascii="宋体" w:hAnsi="宋体"/>
          <w:szCs w:val="21"/>
          <w:lang w:val="en-US" w:eastAsia="zh-CN"/>
        </w:rPr>
      </w:pPr>
      <w:r>
        <w:rPr>
          <w:rFonts w:hint="eastAsia" w:ascii="宋体" w:hAnsi="宋体"/>
          <w:szCs w:val="21"/>
          <w:lang w:val="en-US" w:eastAsia="zh-CN"/>
        </w:rPr>
        <w:t>4.总服务台提供饭店服务项目宣传品、饭店价目表、市交通图、各种交通工具时刻表、与住店客人相适应的报刊；</w:t>
      </w:r>
    </w:p>
    <w:p w14:paraId="0E1D5066">
      <w:pPr>
        <w:pStyle w:val="12"/>
        <w:ind w:firstLine="480"/>
        <w:jc w:val="left"/>
        <w:rPr>
          <w:rFonts w:hint="eastAsia" w:ascii="宋体" w:hAnsi="宋体"/>
          <w:szCs w:val="21"/>
          <w:lang w:val="en-US" w:eastAsia="zh-CN"/>
        </w:rPr>
      </w:pPr>
      <w:r>
        <w:rPr>
          <w:rFonts w:hint="eastAsia" w:ascii="宋体" w:hAnsi="宋体"/>
          <w:szCs w:val="21"/>
          <w:lang w:val="en-US" w:eastAsia="zh-CN"/>
        </w:rPr>
        <w:t>5.能提供明细账单和总帐单服务；</w:t>
      </w:r>
    </w:p>
    <w:p w14:paraId="2A4A3F5E">
      <w:pPr>
        <w:pStyle w:val="12"/>
        <w:ind w:firstLine="480"/>
        <w:jc w:val="left"/>
        <w:rPr>
          <w:rFonts w:hint="eastAsia" w:ascii="宋体" w:hAnsi="宋体"/>
          <w:szCs w:val="21"/>
          <w:lang w:val="en-US" w:eastAsia="zh-CN"/>
        </w:rPr>
      </w:pPr>
      <w:r>
        <w:rPr>
          <w:rFonts w:hint="eastAsia" w:ascii="宋体" w:hAnsi="宋体"/>
          <w:szCs w:val="21"/>
          <w:lang w:val="en-US" w:eastAsia="zh-CN"/>
        </w:rPr>
        <w:t>6.有供客人使用的行李推车、必要时提供行李服务、有小件行李存放服务；</w:t>
      </w:r>
    </w:p>
    <w:p w14:paraId="54BC6798">
      <w:pPr>
        <w:pStyle w:val="12"/>
        <w:ind w:firstLine="480"/>
        <w:jc w:val="left"/>
        <w:rPr>
          <w:rFonts w:hint="eastAsia" w:ascii="宋体" w:hAnsi="宋体"/>
          <w:szCs w:val="21"/>
          <w:lang w:val="en-US" w:eastAsia="zh-CN"/>
        </w:rPr>
      </w:pPr>
      <w:r>
        <w:rPr>
          <w:rFonts w:hint="eastAsia" w:ascii="宋体" w:hAnsi="宋体"/>
          <w:szCs w:val="21"/>
          <w:lang w:val="en-US" w:eastAsia="zh-CN"/>
        </w:rPr>
        <w:t>7.设值班经理，按星级标准设定接待时间；</w:t>
      </w:r>
    </w:p>
    <w:p w14:paraId="04942FFF">
      <w:pPr>
        <w:pStyle w:val="12"/>
        <w:ind w:firstLine="480"/>
        <w:jc w:val="left"/>
        <w:rPr>
          <w:rFonts w:hint="eastAsia" w:ascii="宋体" w:hAnsi="宋体"/>
          <w:szCs w:val="21"/>
          <w:lang w:val="en-US" w:eastAsia="zh-CN"/>
        </w:rPr>
      </w:pPr>
      <w:r>
        <w:rPr>
          <w:rFonts w:hint="eastAsia" w:ascii="宋体" w:hAnsi="宋体"/>
          <w:szCs w:val="21"/>
          <w:lang w:val="en-US" w:eastAsia="zh-CN"/>
        </w:rPr>
        <w:t>8.设有客人休息场所。</w:t>
      </w:r>
    </w:p>
    <w:p w14:paraId="3C2EED39">
      <w:pPr>
        <w:pStyle w:val="12"/>
        <w:ind w:firstLine="480"/>
        <w:jc w:val="left"/>
        <w:rPr>
          <w:rFonts w:hint="eastAsia" w:ascii="宋体" w:hAnsi="宋体"/>
          <w:szCs w:val="21"/>
          <w:lang w:val="en-US" w:eastAsia="zh-CN"/>
        </w:rPr>
      </w:pPr>
      <w:r>
        <w:rPr>
          <w:rFonts w:hint="eastAsia" w:ascii="宋体" w:hAnsi="宋体"/>
          <w:szCs w:val="21"/>
          <w:lang w:val="en-US" w:eastAsia="zh-CN"/>
        </w:rPr>
        <w:t>（二）餐饮能力</w:t>
      </w:r>
    </w:p>
    <w:p w14:paraId="08A189AB">
      <w:pPr>
        <w:pStyle w:val="12"/>
        <w:ind w:firstLine="480"/>
        <w:jc w:val="left"/>
        <w:rPr>
          <w:rFonts w:hint="eastAsia" w:ascii="宋体" w:hAnsi="宋体"/>
          <w:szCs w:val="21"/>
          <w:lang w:val="en-US" w:eastAsia="zh-CN"/>
        </w:rPr>
      </w:pPr>
      <w:r>
        <w:rPr>
          <w:rFonts w:hint="eastAsia" w:ascii="宋体" w:hAnsi="宋体"/>
          <w:szCs w:val="21"/>
          <w:lang w:val="en-US" w:eastAsia="zh-CN"/>
        </w:rPr>
        <w:t>1.供应商自身提供餐饮服务；如供应商自身不提供餐饮服务的，必须与供应商入驻餐饮企业达成协议。</w:t>
      </w:r>
    </w:p>
    <w:p w14:paraId="684ED32C">
      <w:pPr>
        <w:pStyle w:val="12"/>
        <w:ind w:firstLine="480"/>
        <w:jc w:val="left"/>
        <w:rPr>
          <w:rFonts w:hint="eastAsia" w:ascii="宋体" w:hAnsi="宋体"/>
          <w:szCs w:val="21"/>
          <w:lang w:val="en-US" w:eastAsia="zh-CN"/>
        </w:rPr>
      </w:pPr>
      <w:r>
        <w:rPr>
          <w:rFonts w:hint="eastAsia" w:ascii="宋体" w:hAnsi="宋体"/>
          <w:szCs w:val="21"/>
          <w:lang w:val="en-US" w:eastAsia="zh-CN"/>
        </w:rPr>
        <w:t>2.总餐位数与客房接待能力相适应；</w:t>
      </w:r>
    </w:p>
    <w:p w14:paraId="28D46B28">
      <w:pPr>
        <w:pStyle w:val="12"/>
        <w:ind w:firstLine="480"/>
        <w:jc w:val="left"/>
        <w:rPr>
          <w:rFonts w:hint="eastAsia" w:ascii="宋体" w:hAnsi="宋体"/>
          <w:szCs w:val="21"/>
          <w:lang w:val="en-US" w:eastAsia="zh-CN"/>
        </w:rPr>
      </w:pPr>
      <w:r>
        <w:rPr>
          <w:rFonts w:hint="eastAsia" w:ascii="宋体" w:hAnsi="宋体"/>
          <w:szCs w:val="21"/>
          <w:lang w:val="en-US" w:eastAsia="zh-CN"/>
        </w:rPr>
        <w:t>3.有中餐厅，能提供中餐；</w:t>
      </w:r>
    </w:p>
    <w:p w14:paraId="27EEF810">
      <w:pPr>
        <w:pStyle w:val="12"/>
        <w:ind w:firstLine="480"/>
        <w:jc w:val="left"/>
        <w:rPr>
          <w:rFonts w:hint="eastAsia" w:ascii="宋体" w:hAnsi="宋体"/>
          <w:szCs w:val="21"/>
          <w:lang w:val="en-US" w:eastAsia="zh-CN"/>
        </w:rPr>
      </w:pPr>
      <w:r>
        <w:rPr>
          <w:rFonts w:hint="eastAsia" w:ascii="宋体" w:hAnsi="宋体"/>
          <w:szCs w:val="21"/>
          <w:lang w:val="en-US" w:eastAsia="zh-CN"/>
        </w:rPr>
        <w:t>4.餐厅厨房有消毒、灭虫害设施。</w:t>
      </w:r>
    </w:p>
    <w:p w14:paraId="39193CCF">
      <w:pPr>
        <w:pStyle w:val="12"/>
        <w:ind w:firstLine="480"/>
        <w:jc w:val="left"/>
        <w:rPr>
          <w:rFonts w:hint="eastAsia" w:ascii="宋体" w:hAnsi="宋体"/>
          <w:szCs w:val="21"/>
          <w:lang w:val="en-US" w:eastAsia="zh-CN"/>
        </w:rPr>
      </w:pPr>
      <w:r>
        <w:rPr>
          <w:rFonts w:hint="eastAsia" w:ascii="宋体" w:hAnsi="宋体"/>
          <w:szCs w:val="21"/>
          <w:lang w:val="en-US" w:eastAsia="zh-CN"/>
        </w:rPr>
        <w:t>（三）会议室</w:t>
      </w:r>
    </w:p>
    <w:p w14:paraId="505BCD0B">
      <w:pPr>
        <w:pStyle w:val="12"/>
        <w:ind w:firstLine="480"/>
        <w:jc w:val="left"/>
        <w:rPr>
          <w:rFonts w:hint="eastAsia" w:ascii="宋体" w:hAnsi="宋体"/>
          <w:szCs w:val="21"/>
          <w:lang w:val="en-US" w:eastAsia="zh-CN"/>
        </w:rPr>
      </w:pPr>
      <w:r>
        <w:rPr>
          <w:rFonts w:hint="eastAsia" w:ascii="宋体" w:hAnsi="宋体"/>
          <w:szCs w:val="21"/>
          <w:lang w:val="en-US" w:eastAsia="zh-CN"/>
        </w:rPr>
        <w:t>1.有符合会议要求的会议室；</w:t>
      </w:r>
    </w:p>
    <w:p w14:paraId="58BB4A71">
      <w:pPr>
        <w:pStyle w:val="12"/>
        <w:ind w:firstLine="480"/>
        <w:jc w:val="left"/>
        <w:rPr>
          <w:rFonts w:hint="eastAsia" w:ascii="宋体" w:hAnsi="宋体"/>
          <w:szCs w:val="21"/>
          <w:lang w:val="en-US" w:eastAsia="zh-CN"/>
        </w:rPr>
      </w:pPr>
      <w:r>
        <w:rPr>
          <w:rFonts w:hint="eastAsia" w:ascii="宋体" w:hAnsi="宋体"/>
          <w:szCs w:val="21"/>
          <w:lang w:val="en-US" w:eastAsia="zh-CN"/>
        </w:rPr>
        <w:t xml:space="preserve">2.会议室有空调，并配备满足会议使用的音响设备，有多媒体演示设备（电脑、实物投影仪、多媒体投影仪等）； </w:t>
      </w:r>
    </w:p>
    <w:p w14:paraId="705F1DF2">
      <w:pPr>
        <w:pStyle w:val="12"/>
        <w:ind w:firstLine="480"/>
        <w:jc w:val="left"/>
        <w:rPr>
          <w:rFonts w:hint="eastAsia" w:ascii="宋体" w:hAnsi="宋体"/>
          <w:szCs w:val="21"/>
          <w:lang w:val="en-US" w:eastAsia="zh-CN"/>
        </w:rPr>
      </w:pPr>
      <w:r>
        <w:rPr>
          <w:rFonts w:hint="eastAsia" w:ascii="宋体" w:hAnsi="宋体"/>
          <w:szCs w:val="21"/>
          <w:lang w:val="en-US" w:eastAsia="zh-CN"/>
        </w:rPr>
        <w:t>3.能够根据会议需要设计和布置会议室（会议指示牌、席卡、简单花饰等）；</w:t>
      </w:r>
    </w:p>
    <w:p w14:paraId="2078AD72">
      <w:pPr>
        <w:pStyle w:val="12"/>
        <w:ind w:firstLine="480"/>
        <w:jc w:val="left"/>
        <w:rPr>
          <w:rFonts w:hint="eastAsia" w:ascii="宋体" w:hAnsi="宋体"/>
          <w:szCs w:val="21"/>
          <w:lang w:val="en-US" w:eastAsia="zh-CN"/>
        </w:rPr>
      </w:pPr>
      <w:r>
        <w:rPr>
          <w:rFonts w:hint="eastAsia" w:ascii="宋体" w:hAnsi="宋体"/>
          <w:szCs w:val="21"/>
          <w:lang w:val="en-US" w:eastAsia="zh-CN"/>
        </w:rPr>
        <w:t>4.会议室设专职服务员，提供茶水、会标、摆花、代购会议用品等免费服务；</w:t>
      </w:r>
    </w:p>
    <w:p w14:paraId="3C097D0B">
      <w:pPr>
        <w:pStyle w:val="12"/>
        <w:ind w:firstLine="480"/>
        <w:jc w:val="left"/>
        <w:rPr>
          <w:rFonts w:hint="eastAsia" w:ascii="宋体" w:hAnsi="宋体"/>
          <w:szCs w:val="21"/>
          <w:lang w:val="en-US" w:eastAsia="zh-CN"/>
        </w:rPr>
      </w:pPr>
      <w:r>
        <w:rPr>
          <w:rFonts w:hint="eastAsia" w:ascii="宋体" w:hAnsi="宋体"/>
          <w:szCs w:val="21"/>
          <w:lang w:val="en-US" w:eastAsia="zh-CN"/>
        </w:rPr>
        <w:t>5.能够提供纸、笔等基本的会议用文具；</w:t>
      </w:r>
    </w:p>
    <w:p w14:paraId="181F6250">
      <w:pPr>
        <w:pStyle w:val="12"/>
        <w:ind w:firstLine="480"/>
        <w:jc w:val="left"/>
        <w:rPr>
          <w:rFonts w:hint="default" w:ascii="宋体" w:hAnsi="宋体"/>
          <w:szCs w:val="21"/>
          <w:lang w:val="en-US" w:eastAsia="zh-CN"/>
        </w:rPr>
      </w:pPr>
      <w:r>
        <w:rPr>
          <w:rFonts w:hint="eastAsia" w:ascii="宋体" w:hAnsi="宋体"/>
          <w:szCs w:val="21"/>
          <w:lang w:val="en-US" w:eastAsia="zh-CN"/>
        </w:rPr>
        <w:t>6.大会议室至少需3个服务员，中会议室至少需2个服务员，小会议室至少需1个服务员。</w:t>
      </w:r>
    </w:p>
    <w:p w14:paraId="25E4680B">
      <w:pPr>
        <w:pStyle w:val="12"/>
        <w:ind w:firstLine="480"/>
        <w:jc w:val="left"/>
        <w:rPr>
          <w:rFonts w:hint="eastAsia" w:ascii="宋体" w:hAnsi="宋体"/>
          <w:szCs w:val="21"/>
          <w:lang w:val="en-US" w:eastAsia="zh-CN"/>
        </w:rPr>
      </w:pPr>
      <w:r>
        <w:rPr>
          <w:rFonts w:hint="eastAsia" w:ascii="宋体" w:hAnsi="宋体"/>
          <w:szCs w:val="21"/>
          <w:lang w:val="en-US" w:eastAsia="zh-CN"/>
        </w:rPr>
        <w:t>（四）客房</w:t>
      </w:r>
    </w:p>
    <w:p w14:paraId="2B3E2070">
      <w:pPr>
        <w:pStyle w:val="12"/>
        <w:ind w:firstLine="480"/>
        <w:jc w:val="left"/>
        <w:rPr>
          <w:rFonts w:hint="eastAsia" w:ascii="宋体" w:hAnsi="宋体"/>
          <w:szCs w:val="21"/>
          <w:lang w:val="en-US" w:eastAsia="zh-CN"/>
        </w:rPr>
      </w:pPr>
      <w:r>
        <w:rPr>
          <w:rFonts w:hint="eastAsia" w:ascii="宋体" w:hAnsi="宋体"/>
          <w:szCs w:val="21"/>
          <w:lang w:val="en-US" w:eastAsia="zh-CN"/>
        </w:rPr>
        <w:t>1.装修良好，有软垫床、桌、椅、床头柜等配套家具，照明充足；</w:t>
      </w:r>
    </w:p>
    <w:p w14:paraId="600FB41E">
      <w:pPr>
        <w:pStyle w:val="12"/>
        <w:ind w:firstLine="480"/>
        <w:jc w:val="left"/>
        <w:rPr>
          <w:rFonts w:hint="eastAsia" w:ascii="宋体" w:hAnsi="宋体"/>
          <w:szCs w:val="21"/>
          <w:lang w:val="en-US" w:eastAsia="zh-CN"/>
        </w:rPr>
      </w:pPr>
      <w:r>
        <w:rPr>
          <w:rFonts w:hint="eastAsia" w:ascii="宋体" w:hAnsi="宋体"/>
          <w:szCs w:val="21"/>
          <w:lang w:val="en-US" w:eastAsia="zh-CN"/>
        </w:rPr>
        <w:t>2.有卫生间，装有抽水马桶、面盆、梳妆镜、沐浴或浴缸，配有浴帘。采取有效的防滑措施。24小时供应冷、热水；</w:t>
      </w:r>
    </w:p>
    <w:p w14:paraId="57A846B3">
      <w:pPr>
        <w:pStyle w:val="12"/>
        <w:ind w:firstLine="480"/>
        <w:jc w:val="left"/>
        <w:rPr>
          <w:rFonts w:hint="eastAsia" w:ascii="宋体" w:hAnsi="宋体"/>
          <w:szCs w:val="21"/>
          <w:lang w:val="en-US" w:eastAsia="zh-CN"/>
        </w:rPr>
      </w:pPr>
      <w:r>
        <w:rPr>
          <w:rFonts w:hint="eastAsia" w:ascii="宋体" w:hAnsi="宋体"/>
          <w:szCs w:val="21"/>
          <w:lang w:val="en-US" w:eastAsia="zh-CN"/>
        </w:rPr>
        <w:t>3.有电话、网络，可通过直拨或总机拨通国内与国际长途电话，电话机旁备有使用说明；</w:t>
      </w:r>
    </w:p>
    <w:p w14:paraId="62E5D4EF">
      <w:pPr>
        <w:pStyle w:val="12"/>
        <w:ind w:firstLine="480"/>
        <w:jc w:val="left"/>
        <w:rPr>
          <w:rFonts w:hint="eastAsia" w:ascii="宋体" w:hAnsi="宋体"/>
          <w:szCs w:val="21"/>
          <w:lang w:val="en-US" w:eastAsia="zh-CN"/>
        </w:rPr>
      </w:pPr>
      <w:r>
        <w:rPr>
          <w:rFonts w:hint="eastAsia" w:ascii="宋体" w:hAnsi="宋体"/>
          <w:szCs w:val="21"/>
          <w:lang w:val="en-US" w:eastAsia="zh-CN"/>
        </w:rPr>
        <w:t>4.有电视机；</w:t>
      </w:r>
    </w:p>
    <w:p w14:paraId="494702D9">
      <w:pPr>
        <w:pStyle w:val="12"/>
        <w:ind w:firstLine="480"/>
        <w:jc w:val="left"/>
        <w:rPr>
          <w:rFonts w:hint="eastAsia" w:ascii="宋体" w:hAnsi="宋体"/>
          <w:szCs w:val="21"/>
          <w:lang w:val="en-US" w:eastAsia="zh-CN"/>
        </w:rPr>
      </w:pPr>
      <w:r>
        <w:rPr>
          <w:rFonts w:hint="eastAsia" w:ascii="宋体" w:hAnsi="宋体"/>
          <w:szCs w:val="21"/>
          <w:lang w:val="en-US" w:eastAsia="zh-CN"/>
        </w:rPr>
        <w:t>5.有遮光窗帘；</w:t>
      </w:r>
    </w:p>
    <w:p w14:paraId="09C11D57">
      <w:pPr>
        <w:pStyle w:val="12"/>
        <w:ind w:firstLine="480"/>
        <w:jc w:val="left"/>
        <w:rPr>
          <w:rFonts w:hint="eastAsia" w:ascii="宋体" w:hAnsi="宋体"/>
          <w:szCs w:val="21"/>
          <w:lang w:val="en-US" w:eastAsia="zh-CN"/>
        </w:rPr>
      </w:pPr>
      <w:r>
        <w:rPr>
          <w:rFonts w:hint="eastAsia" w:ascii="宋体" w:hAnsi="宋体"/>
          <w:szCs w:val="21"/>
          <w:lang w:val="en-US" w:eastAsia="zh-CN"/>
        </w:rPr>
        <w:t>6.有简单的文具用品。有饭店服务指南、价目表、住宿规章、本市交通图；</w:t>
      </w:r>
    </w:p>
    <w:p w14:paraId="30AAB305">
      <w:pPr>
        <w:pStyle w:val="12"/>
        <w:ind w:firstLine="480"/>
        <w:jc w:val="left"/>
        <w:rPr>
          <w:rFonts w:hint="eastAsia" w:ascii="宋体" w:hAnsi="宋体"/>
          <w:szCs w:val="21"/>
          <w:lang w:val="en-US" w:eastAsia="zh-CN"/>
        </w:rPr>
      </w:pPr>
      <w:r>
        <w:rPr>
          <w:rFonts w:hint="eastAsia" w:ascii="宋体" w:hAnsi="宋体"/>
          <w:szCs w:val="21"/>
          <w:lang w:val="en-US" w:eastAsia="zh-CN"/>
        </w:rPr>
        <w:t>7.客房、卫生间每天全面整理1次，按客人需求更换床单及枕套；</w:t>
      </w:r>
    </w:p>
    <w:p w14:paraId="6ACB7A13">
      <w:pPr>
        <w:pStyle w:val="12"/>
        <w:ind w:firstLine="480"/>
        <w:jc w:val="left"/>
        <w:rPr>
          <w:rFonts w:hint="eastAsia" w:ascii="宋体" w:hAnsi="宋体"/>
          <w:szCs w:val="21"/>
          <w:lang w:val="en-US" w:eastAsia="zh-CN"/>
        </w:rPr>
      </w:pPr>
      <w:r>
        <w:rPr>
          <w:rFonts w:hint="eastAsia" w:ascii="宋体" w:hAnsi="宋体"/>
          <w:szCs w:val="21"/>
          <w:lang w:val="en-US" w:eastAsia="zh-CN"/>
        </w:rPr>
        <w:t>（五）公共区域</w:t>
      </w:r>
    </w:p>
    <w:p w14:paraId="2328AF68">
      <w:pPr>
        <w:pStyle w:val="12"/>
        <w:ind w:firstLine="480"/>
        <w:jc w:val="left"/>
        <w:rPr>
          <w:rFonts w:hint="eastAsia" w:ascii="宋体" w:hAnsi="宋体"/>
          <w:szCs w:val="21"/>
          <w:lang w:val="en-US" w:eastAsia="zh-CN"/>
        </w:rPr>
      </w:pPr>
      <w:r>
        <w:rPr>
          <w:rFonts w:hint="eastAsia" w:ascii="宋体" w:hAnsi="宋体"/>
          <w:szCs w:val="21"/>
          <w:lang w:val="en-US" w:eastAsia="zh-CN"/>
        </w:rPr>
        <w:t>1.有保证接待服务的停车场及保管服务；</w:t>
      </w:r>
    </w:p>
    <w:p w14:paraId="3B75D1DA">
      <w:pPr>
        <w:pStyle w:val="12"/>
        <w:ind w:firstLine="480"/>
        <w:jc w:val="left"/>
        <w:rPr>
          <w:rFonts w:hint="eastAsia" w:ascii="宋体" w:hAnsi="宋体"/>
          <w:szCs w:val="21"/>
          <w:lang w:val="en-US" w:eastAsia="zh-CN"/>
        </w:rPr>
      </w:pPr>
      <w:r>
        <w:rPr>
          <w:rFonts w:hint="eastAsia" w:ascii="宋体" w:hAnsi="宋体"/>
          <w:szCs w:val="21"/>
          <w:lang w:val="en-US" w:eastAsia="zh-CN"/>
        </w:rPr>
        <w:t>2.有公用电话，并配备市内电话薄；</w:t>
      </w:r>
    </w:p>
    <w:p w14:paraId="1A2AFBF4">
      <w:pPr>
        <w:pStyle w:val="12"/>
        <w:ind w:firstLine="480"/>
        <w:jc w:val="left"/>
        <w:rPr>
          <w:rFonts w:hint="eastAsia" w:ascii="宋体" w:hAnsi="宋体"/>
          <w:szCs w:val="21"/>
          <w:lang w:val="en-US" w:eastAsia="zh-CN"/>
        </w:rPr>
      </w:pPr>
      <w:r>
        <w:rPr>
          <w:rFonts w:hint="eastAsia" w:ascii="宋体" w:hAnsi="宋体"/>
          <w:szCs w:val="21"/>
          <w:lang w:val="en-US" w:eastAsia="zh-CN"/>
        </w:rPr>
        <w:t>3.有应急照明灯；</w:t>
      </w:r>
    </w:p>
    <w:p w14:paraId="2C69CC73">
      <w:pPr>
        <w:pStyle w:val="12"/>
        <w:ind w:firstLine="480"/>
        <w:jc w:val="left"/>
        <w:rPr>
          <w:rFonts w:hint="eastAsia" w:ascii="宋体" w:hAnsi="宋体"/>
          <w:szCs w:val="21"/>
          <w:lang w:val="en-US" w:eastAsia="zh-CN"/>
        </w:rPr>
      </w:pPr>
      <w:r>
        <w:rPr>
          <w:rFonts w:hint="eastAsia" w:ascii="宋体" w:hAnsi="宋体"/>
          <w:szCs w:val="21"/>
          <w:lang w:val="en-US" w:eastAsia="zh-CN"/>
        </w:rPr>
        <w:t>4.提供必要医疗服务；</w:t>
      </w:r>
    </w:p>
    <w:p w14:paraId="5552A7F8">
      <w:pPr>
        <w:pStyle w:val="12"/>
        <w:ind w:firstLine="480"/>
        <w:jc w:val="left"/>
        <w:rPr>
          <w:rFonts w:hint="eastAsia" w:ascii="宋体" w:hAnsi="宋体"/>
          <w:szCs w:val="21"/>
          <w:lang w:val="en-US" w:eastAsia="zh-CN"/>
        </w:rPr>
      </w:pPr>
      <w:r>
        <w:rPr>
          <w:rFonts w:hint="eastAsia" w:ascii="宋体" w:hAnsi="宋体"/>
          <w:szCs w:val="21"/>
          <w:lang w:val="en-US" w:eastAsia="zh-CN"/>
        </w:rPr>
        <w:t>5.商务中心有打印、复印、收发传真或电子邮件、上网设备。</w:t>
      </w:r>
    </w:p>
    <w:p w14:paraId="671E2448">
      <w:pPr>
        <w:pStyle w:val="12"/>
        <w:ind w:firstLine="480"/>
        <w:jc w:val="left"/>
        <w:rPr>
          <w:rFonts w:hint="eastAsia" w:ascii="宋体" w:hAnsi="宋体"/>
          <w:szCs w:val="21"/>
          <w:lang w:val="en-US" w:eastAsia="zh-CN"/>
        </w:rPr>
      </w:pPr>
      <w:r>
        <w:rPr>
          <w:rFonts w:hint="eastAsia" w:ascii="宋体" w:hAnsi="宋体"/>
          <w:szCs w:val="21"/>
          <w:lang w:val="en-US" w:eastAsia="zh-CN"/>
        </w:rPr>
        <w:t>（六）其它设备设施要求</w:t>
      </w:r>
    </w:p>
    <w:p w14:paraId="73430F2F">
      <w:pPr>
        <w:pStyle w:val="12"/>
        <w:ind w:firstLine="480"/>
        <w:jc w:val="left"/>
        <w:rPr>
          <w:rFonts w:hint="eastAsia" w:ascii="宋体" w:hAnsi="宋体"/>
          <w:szCs w:val="21"/>
          <w:lang w:val="en-US" w:eastAsia="zh-CN"/>
        </w:rPr>
      </w:pPr>
      <w:r>
        <w:rPr>
          <w:rFonts w:hint="eastAsia" w:ascii="宋体" w:hAnsi="宋体"/>
          <w:szCs w:val="21"/>
          <w:lang w:val="en-US" w:eastAsia="zh-CN"/>
        </w:rPr>
        <w:t>1.有完好的消防设施；</w:t>
      </w:r>
    </w:p>
    <w:p w14:paraId="36FD5A71">
      <w:pPr>
        <w:pStyle w:val="12"/>
        <w:ind w:firstLine="480"/>
        <w:jc w:val="left"/>
        <w:rPr>
          <w:rFonts w:hint="eastAsia" w:ascii="宋体" w:hAnsi="宋体"/>
          <w:szCs w:val="21"/>
          <w:lang w:val="en-US" w:eastAsia="zh-CN"/>
        </w:rPr>
      </w:pPr>
      <w:r>
        <w:rPr>
          <w:rFonts w:hint="eastAsia" w:ascii="宋体" w:hAnsi="宋体"/>
          <w:szCs w:val="21"/>
          <w:lang w:val="en-US" w:eastAsia="zh-CN"/>
        </w:rPr>
        <w:t>2.有完好的监控设施；</w:t>
      </w:r>
    </w:p>
    <w:p w14:paraId="46651345">
      <w:pPr>
        <w:pStyle w:val="12"/>
        <w:ind w:firstLine="480"/>
        <w:jc w:val="left"/>
        <w:rPr>
          <w:rFonts w:hint="eastAsia" w:ascii="宋体" w:hAnsi="宋体"/>
          <w:szCs w:val="21"/>
          <w:lang w:val="en-US" w:eastAsia="zh-CN"/>
        </w:rPr>
      </w:pPr>
      <w:r>
        <w:rPr>
          <w:rFonts w:hint="eastAsia" w:ascii="宋体" w:hAnsi="宋体"/>
          <w:szCs w:val="21"/>
          <w:lang w:val="en-US" w:eastAsia="zh-CN"/>
        </w:rPr>
        <w:t>3.根据会议的要求，有制冷设备、各区域通风良好，设备运转正常；</w:t>
      </w:r>
    </w:p>
    <w:p w14:paraId="5BB4F4D5">
      <w:pPr>
        <w:pStyle w:val="12"/>
        <w:ind w:firstLine="480"/>
        <w:jc w:val="left"/>
        <w:rPr>
          <w:rFonts w:hint="eastAsia" w:ascii="宋体" w:hAnsi="宋体"/>
          <w:szCs w:val="21"/>
          <w:lang w:val="en-US" w:eastAsia="zh-CN"/>
        </w:rPr>
      </w:pPr>
      <w:r>
        <w:rPr>
          <w:rFonts w:hint="eastAsia" w:ascii="宋体" w:hAnsi="宋体"/>
          <w:szCs w:val="21"/>
          <w:lang w:val="en-US" w:eastAsia="zh-CN"/>
        </w:rPr>
        <w:t>4.具有后备电源；</w:t>
      </w:r>
    </w:p>
    <w:p w14:paraId="757765AA">
      <w:pPr>
        <w:pStyle w:val="12"/>
        <w:ind w:firstLine="480"/>
        <w:jc w:val="left"/>
        <w:rPr>
          <w:rFonts w:hint="eastAsia" w:ascii="宋体" w:hAnsi="宋体"/>
          <w:szCs w:val="21"/>
          <w:lang w:val="en-US" w:eastAsia="zh-CN"/>
        </w:rPr>
      </w:pPr>
      <w:r>
        <w:rPr>
          <w:rFonts w:hint="eastAsia" w:ascii="宋体" w:hAnsi="宋体"/>
          <w:szCs w:val="21"/>
          <w:lang w:val="en-US" w:eastAsia="zh-CN"/>
        </w:rPr>
        <w:t>5.客房的设施、卫生间用具完好；</w:t>
      </w:r>
    </w:p>
    <w:p w14:paraId="04236B03">
      <w:pPr>
        <w:pStyle w:val="12"/>
        <w:ind w:firstLine="480"/>
        <w:jc w:val="left"/>
        <w:rPr>
          <w:rFonts w:hint="eastAsia" w:ascii="宋体" w:hAnsi="宋体"/>
          <w:szCs w:val="21"/>
          <w:lang w:val="en-US" w:eastAsia="zh-CN"/>
        </w:rPr>
      </w:pPr>
      <w:r>
        <w:rPr>
          <w:rFonts w:hint="eastAsia" w:ascii="宋体" w:hAnsi="宋体"/>
          <w:szCs w:val="21"/>
          <w:lang w:val="en-US" w:eastAsia="zh-CN"/>
        </w:rPr>
        <w:t xml:space="preserve">6.会议设备设施完好。 </w:t>
      </w:r>
    </w:p>
    <w:p w14:paraId="2CC866C0">
      <w:pPr>
        <w:pStyle w:val="3"/>
        <w:ind w:firstLine="562" w:firstLineChars="200"/>
        <w:contextualSpacing/>
        <w:rPr>
          <w:rFonts w:hint="eastAsia" w:asciiTheme="minorHAnsi" w:hAnsiTheme="minorHAnsi" w:eastAsiaTheme="minorEastAsia" w:cstheme="minorBidi"/>
          <w:b/>
          <w:sz w:val="28"/>
          <w:szCs w:val="20"/>
          <w:lang w:val="en-US" w:eastAsia="zh-CN"/>
        </w:rPr>
      </w:pPr>
      <w:r>
        <w:rPr>
          <w:rFonts w:hint="eastAsia" w:asciiTheme="minorHAnsi" w:hAnsiTheme="minorHAnsi" w:eastAsiaTheme="minorEastAsia" w:cstheme="minorBidi"/>
          <w:b/>
          <w:sz w:val="28"/>
          <w:szCs w:val="20"/>
          <w:lang w:val="en-US" w:eastAsia="zh-CN"/>
        </w:rPr>
        <w:t>二、配合政府采购主管部门、集中采购机构管理的服务要求</w:t>
      </w:r>
    </w:p>
    <w:p w14:paraId="3C9B7A3F">
      <w:pPr>
        <w:pStyle w:val="12"/>
        <w:ind w:firstLine="480"/>
        <w:jc w:val="left"/>
        <w:rPr>
          <w:rFonts w:hint="eastAsia" w:ascii="宋体" w:hAnsi="宋体"/>
          <w:szCs w:val="21"/>
          <w:lang w:val="en-US" w:eastAsia="zh-CN"/>
        </w:rPr>
      </w:pPr>
      <w:r>
        <w:rPr>
          <w:rFonts w:hint="eastAsia" w:ascii="宋体" w:hAnsi="宋体"/>
          <w:szCs w:val="21"/>
          <w:lang w:val="en-US" w:eastAsia="zh-CN"/>
        </w:rPr>
        <w:t>1.为全国各级党政机关事业单位以及深圳市区两级各行政事业单位提供优先服务；</w:t>
      </w:r>
    </w:p>
    <w:p w14:paraId="46D068D0">
      <w:pPr>
        <w:pStyle w:val="12"/>
        <w:ind w:firstLine="480"/>
        <w:jc w:val="left"/>
        <w:rPr>
          <w:rFonts w:hint="eastAsia" w:ascii="宋体" w:hAnsi="宋体"/>
          <w:szCs w:val="21"/>
          <w:lang w:val="en-US" w:eastAsia="zh-CN"/>
        </w:rPr>
      </w:pPr>
      <w:r>
        <w:rPr>
          <w:rFonts w:hint="eastAsia" w:ascii="宋体" w:hAnsi="宋体"/>
          <w:szCs w:val="21"/>
          <w:lang w:val="en-US" w:eastAsia="zh-CN"/>
        </w:rPr>
        <w:t>2.严格履行征集文件要求；</w:t>
      </w:r>
    </w:p>
    <w:p w14:paraId="35BA9DF4">
      <w:pPr>
        <w:pStyle w:val="12"/>
        <w:ind w:firstLine="480"/>
        <w:jc w:val="left"/>
        <w:rPr>
          <w:rFonts w:hint="eastAsia" w:ascii="宋体" w:hAnsi="宋体"/>
          <w:szCs w:val="21"/>
          <w:lang w:val="en-US" w:eastAsia="zh-CN"/>
        </w:rPr>
      </w:pPr>
      <w:r>
        <w:rPr>
          <w:rFonts w:hint="eastAsia" w:ascii="宋体" w:hAnsi="宋体"/>
          <w:szCs w:val="21"/>
          <w:lang w:val="en-US" w:eastAsia="zh-CN"/>
        </w:rPr>
        <w:t>3.设有固定服务电话（手机及座机），及时提供各项服务；联系服务电话变更需报集中采购机构备案。</w:t>
      </w:r>
    </w:p>
    <w:p w14:paraId="520C1DC9">
      <w:pPr>
        <w:pStyle w:val="12"/>
        <w:ind w:firstLine="480"/>
        <w:jc w:val="left"/>
        <w:rPr>
          <w:rFonts w:hint="eastAsia" w:ascii="宋体" w:hAnsi="宋体"/>
          <w:szCs w:val="21"/>
          <w:lang w:val="en-US" w:eastAsia="zh-CN"/>
        </w:rPr>
      </w:pPr>
      <w:r>
        <w:rPr>
          <w:rFonts w:hint="eastAsia" w:ascii="宋体" w:hAnsi="宋体"/>
          <w:szCs w:val="21"/>
          <w:lang w:val="en-US" w:eastAsia="zh-CN"/>
        </w:rPr>
        <w:t>4.对承接的会议、公务住宿定点接待业务，单独建立台帐，并按政府采购主管部门、集中采购机构的要求，将相关数据按要求上报。</w:t>
      </w:r>
    </w:p>
    <w:p w14:paraId="0D93FBD3">
      <w:pPr>
        <w:pStyle w:val="12"/>
        <w:ind w:firstLine="480"/>
        <w:jc w:val="left"/>
        <w:rPr>
          <w:rFonts w:hint="eastAsia" w:ascii="宋体" w:hAnsi="宋体"/>
          <w:szCs w:val="21"/>
          <w:lang w:val="en-US" w:eastAsia="zh-CN"/>
        </w:rPr>
      </w:pPr>
      <w:r>
        <w:rPr>
          <w:rFonts w:hint="eastAsia" w:ascii="宋体" w:hAnsi="宋体"/>
          <w:szCs w:val="21"/>
          <w:lang w:val="en-US" w:eastAsia="zh-CN"/>
        </w:rPr>
        <w:t>5.建立专门的政府采购业务档案，详细记录政府会议接待业务有关事项；</w:t>
      </w:r>
    </w:p>
    <w:p w14:paraId="6638BB97">
      <w:pPr>
        <w:pStyle w:val="12"/>
        <w:ind w:firstLine="480"/>
        <w:jc w:val="left"/>
        <w:rPr>
          <w:rFonts w:hint="eastAsia" w:ascii="宋体" w:hAnsi="宋体"/>
          <w:szCs w:val="21"/>
          <w:lang w:val="en-US" w:eastAsia="zh-CN"/>
        </w:rPr>
      </w:pPr>
      <w:r>
        <w:rPr>
          <w:rFonts w:hint="eastAsia" w:ascii="宋体" w:hAnsi="宋体"/>
          <w:szCs w:val="21"/>
          <w:lang w:val="en-US" w:eastAsia="zh-CN"/>
        </w:rPr>
        <w:t>6.积极配合政府采购主管部门、集中采购机构对开展政府会议接待相关业务数据的统计和核实工作；</w:t>
      </w:r>
    </w:p>
    <w:p w14:paraId="3C6E3D80">
      <w:pPr>
        <w:pStyle w:val="12"/>
        <w:ind w:firstLine="480"/>
        <w:jc w:val="left"/>
        <w:rPr>
          <w:rFonts w:hint="eastAsia" w:ascii="宋体" w:hAnsi="宋体"/>
          <w:szCs w:val="21"/>
          <w:lang w:val="en-US" w:eastAsia="zh-CN"/>
        </w:rPr>
      </w:pPr>
      <w:r>
        <w:rPr>
          <w:rFonts w:hint="eastAsia" w:ascii="宋体" w:hAnsi="宋体"/>
          <w:szCs w:val="21"/>
          <w:lang w:val="en-US" w:eastAsia="zh-CN"/>
        </w:rPr>
        <w:t>7.协助有关部门做好对采购方经办人的廉政工作，防止腐败；</w:t>
      </w:r>
    </w:p>
    <w:p w14:paraId="2696BA35">
      <w:pPr>
        <w:pStyle w:val="12"/>
        <w:ind w:firstLine="480"/>
        <w:jc w:val="left"/>
        <w:rPr>
          <w:rFonts w:hint="eastAsia" w:ascii="宋体" w:hAnsi="宋体"/>
          <w:szCs w:val="21"/>
          <w:lang w:val="en-US" w:eastAsia="zh-CN"/>
        </w:rPr>
      </w:pPr>
      <w:r>
        <w:rPr>
          <w:rFonts w:hint="eastAsia" w:ascii="宋体" w:hAnsi="宋体"/>
          <w:szCs w:val="21"/>
          <w:lang w:val="en-US" w:eastAsia="zh-CN"/>
        </w:rPr>
        <w:t>8.对会议有专职经理专门服务。</w:t>
      </w:r>
    </w:p>
    <w:p w14:paraId="460BCF8B">
      <w:pPr>
        <w:pStyle w:val="3"/>
        <w:ind w:firstLine="562" w:firstLineChars="200"/>
        <w:contextualSpacing/>
        <w:rPr>
          <w:rFonts w:hint="eastAsia" w:asciiTheme="minorHAnsi" w:hAnsiTheme="minorHAnsi" w:eastAsiaTheme="minorEastAsia" w:cstheme="minorBidi"/>
          <w:b/>
          <w:sz w:val="28"/>
          <w:szCs w:val="20"/>
          <w:lang w:val="en-US" w:eastAsia="zh-CN"/>
        </w:rPr>
      </w:pPr>
      <w:r>
        <w:rPr>
          <w:rFonts w:hint="eastAsia" w:asciiTheme="minorHAnsi" w:hAnsiTheme="minorHAnsi" w:eastAsiaTheme="minorEastAsia" w:cstheme="minorBidi"/>
          <w:b/>
          <w:sz w:val="28"/>
          <w:szCs w:val="20"/>
          <w:lang w:val="en-US" w:eastAsia="zh-CN"/>
        </w:rPr>
        <w:t>三、其他</w:t>
      </w:r>
    </w:p>
    <w:p w14:paraId="7B800475">
      <w:pPr>
        <w:pStyle w:val="12"/>
        <w:ind w:firstLine="480"/>
        <w:jc w:val="left"/>
        <w:rPr>
          <w:rFonts w:hint="eastAsia" w:ascii="宋体" w:hAnsi="宋体"/>
          <w:szCs w:val="21"/>
          <w:lang w:val="en-US" w:eastAsia="zh-CN"/>
        </w:rPr>
      </w:pPr>
      <w:r>
        <w:rPr>
          <w:rFonts w:hint="eastAsia" w:ascii="宋体" w:hAnsi="宋体"/>
          <w:szCs w:val="21"/>
          <w:lang w:val="en-US" w:eastAsia="zh-CN"/>
        </w:rPr>
        <w:t>征集人将不定期对入围供应商进行检查，检查范围包括但不限于申请文件真实性、服务质量等，如发现供应商实际情况与申请文件内容严重不符的或其他严重违规行为的，将按征集文件</w:t>
      </w:r>
      <w:r>
        <w:rPr>
          <w:rFonts w:hint="eastAsia" w:eastAsia="宋体"/>
          <w:lang w:val="en-US" w:eastAsia="zh-CN"/>
        </w:rPr>
        <w:t>或相关法律法规的规定处理</w:t>
      </w:r>
      <w:r>
        <w:rPr>
          <w:rFonts w:hint="eastAsia" w:ascii="宋体" w:hAnsi="宋体"/>
          <w:szCs w:val="21"/>
          <w:lang w:val="en-US" w:eastAsia="zh-CN"/>
        </w:rPr>
        <w:t>，并报送政府采购主管部门。</w:t>
      </w:r>
    </w:p>
    <w:p w14:paraId="2490C4D4">
      <w:pPr>
        <w:pStyle w:val="12"/>
        <w:jc w:val="left"/>
        <w:rPr>
          <w:rFonts w:hint="eastAsia"/>
          <w:b/>
          <w:sz w:val="28"/>
          <w:lang w:val="en-US" w:eastAsia="zh-CN"/>
        </w:rPr>
      </w:pPr>
    </w:p>
    <w:p w14:paraId="4CF1DBD0">
      <w:pPr>
        <w:pStyle w:val="12"/>
        <w:jc w:val="center"/>
        <w:outlineLvl w:val="1"/>
        <w:rPr>
          <w:b/>
          <w:sz w:val="36"/>
          <w:highlight w:val="none"/>
        </w:rPr>
      </w:pPr>
      <w:r>
        <w:rPr>
          <w:b/>
          <w:sz w:val="36"/>
        </w:rPr>
        <w:t>第</w:t>
      </w:r>
      <w:r>
        <w:rPr>
          <w:rFonts w:hint="eastAsia"/>
          <w:b/>
          <w:sz w:val="36"/>
          <w:lang w:val="en-US" w:eastAsia="zh-CN"/>
        </w:rPr>
        <w:t>五</w:t>
      </w:r>
      <w:r>
        <w:rPr>
          <w:b/>
          <w:sz w:val="36"/>
        </w:rPr>
        <w:t xml:space="preserve">章 </w:t>
      </w:r>
      <w:r>
        <w:rPr>
          <w:rFonts w:hint="eastAsia"/>
          <w:b/>
          <w:sz w:val="36"/>
          <w:highlight w:val="none"/>
          <w:lang w:val="en-US" w:eastAsia="zh-CN"/>
        </w:rPr>
        <w:t>资格审查方法和标准</w:t>
      </w:r>
    </w:p>
    <w:p w14:paraId="36901159">
      <w:pPr>
        <w:pStyle w:val="12"/>
        <w:jc w:val="left"/>
        <w:outlineLvl w:val="2"/>
      </w:pPr>
      <w:r>
        <w:rPr>
          <w:b/>
          <w:sz w:val="28"/>
        </w:rPr>
        <w:t>一、评审程序</w:t>
      </w:r>
    </w:p>
    <w:p w14:paraId="5DAEA2FB">
      <w:pPr>
        <w:pStyle w:val="12"/>
        <w:ind w:firstLine="480"/>
        <w:jc w:val="left"/>
      </w:pPr>
      <w:r>
        <w:rPr>
          <w:rFonts w:hint="eastAsia"/>
          <w:lang w:val="en-US" w:eastAsia="zh-CN"/>
        </w:rPr>
        <w:t>征集人</w:t>
      </w:r>
      <w:r>
        <w:t>依据本征集文件的实质性要求，对符合资格的</w:t>
      </w:r>
      <w:r>
        <w:rPr>
          <w:rFonts w:hint="eastAsia"/>
          <w:lang w:eastAsia="zh-CN"/>
        </w:rPr>
        <w:t>申请文件</w:t>
      </w:r>
      <w:r>
        <w:t>进行审查，以确定其是否满足本征集文件的实质性要求。本项目符合性审查事项，必须以本征集文件明确规定的实质性要求作为依据。</w:t>
      </w:r>
    </w:p>
    <w:p w14:paraId="39B23AD3">
      <w:pPr>
        <w:pStyle w:val="12"/>
        <w:ind w:firstLine="480"/>
        <w:jc w:val="both"/>
      </w:pPr>
      <w:r>
        <w:t>资格审查标准及要求如下：</w:t>
      </w:r>
    </w:p>
    <w:tbl>
      <w:tblPr>
        <w:tblStyle w:val="8"/>
        <w:tblW w:w="4998"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4"/>
        <w:gridCol w:w="3195"/>
        <w:gridCol w:w="4260"/>
      </w:tblGrid>
      <w:tr w14:paraId="6E77A2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vAlign w:val="center"/>
          </w:tcPr>
          <w:p w14:paraId="62547838">
            <w:pPr>
              <w:pStyle w:val="12"/>
              <w:jc w:val="center"/>
            </w:pPr>
            <w:r>
              <w:t>序号</w:t>
            </w:r>
          </w:p>
        </w:tc>
        <w:tc>
          <w:tcPr>
            <w:tcW w:w="1875" w:type="pct"/>
            <w:vAlign w:val="center"/>
          </w:tcPr>
          <w:p w14:paraId="2705D8D8">
            <w:pPr>
              <w:pStyle w:val="12"/>
              <w:jc w:val="center"/>
            </w:pPr>
            <w:r>
              <w:t>资格审查要求概况</w:t>
            </w:r>
          </w:p>
        </w:tc>
        <w:tc>
          <w:tcPr>
            <w:tcW w:w="2500" w:type="pct"/>
            <w:vAlign w:val="center"/>
          </w:tcPr>
          <w:p w14:paraId="3C40FDBB">
            <w:pPr>
              <w:pStyle w:val="12"/>
              <w:jc w:val="center"/>
            </w:pPr>
            <w:r>
              <w:t>评审点具体描述</w:t>
            </w:r>
          </w:p>
        </w:tc>
      </w:tr>
      <w:tr w14:paraId="3BA844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vAlign w:val="center"/>
          </w:tcPr>
          <w:p w14:paraId="1E26C5B4">
            <w:pPr>
              <w:pStyle w:val="12"/>
              <w:jc w:val="center"/>
            </w:pPr>
            <w:r>
              <w:t>1</w:t>
            </w:r>
          </w:p>
        </w:tc>
        <w:tc>
          <w:tcPr>
            <w:tcW w:w="1875" w:type="pct"/>
            <w:vAlign w:val="center"/>
          </w:tcPr>
          <w:p w14:paraId="67479E6C">
            <w:pPr>
              <w:pStyle w:val="12"/>
              <w:jc w:val="both"/>
            </w:pPr>
            <w:r>
              <w:rPr>
                <w:rFonts w:hint="eastAsia"/>
                <w:lang w:val="en-US" w:eastAsia="zh-CN"/>
              </w:rPr>
              <w:t>申请</w:t>
            </w:r>
            <w:r>
              <w:t>供应商不符合资格要求，或未提交相应的资格证明资料(详见征集公告供应商资格要求，即申请人的资格要求)</w:t>
            </w:r>
          </w:p>
        </w:tc>
        <w:tc>
          <w:tcPr>
            <w:tcW w:w="2500" w:type="pct"/>
            <w:vAlign w:val="center"/>
          </w:tcPr>
          <w:p w14:paraId="1C86286F">
            <w:pPr>
              <w:pStyle w:val="12"/>
              <w:jc w:val="both"/>
            </w:pPr>
            <w:r>
              <w:rPr>
                <w:rFonts w:hint="eastAsia" w:asciiTheme="minorHAnsi" w:hAnsiTheme="minorHAnsi" w:eastAsiaTheme="minorEastAsia" w:cstheme="minorBidi"/>
                <w:snapToGrid/>
                <w:color w:val="auto"/>
                <w:kern w:val="0"/>
                <w:sz w:val="20"/>
                <w:szCs w:val="20"/>
                <w:lang w:val="en-US" w:eastAsia="zh-CN"/>
              </w:rPr>
              <w:t>申请</w:t>
            </w:r>
            <w:r>
              <w:t>供应商不符合资格要求，或未提交相应的资格证明资料(详见征集公告供应商资格要求，即申请人的资格要求)</w:t>
            </w:r>
          </w:p>
        </w:tc>
      </w:tr>
    </w:tbl>
    <w:p w14:paraId="475A1D71">
      <w:pPr>
        <w:pStyle w:val="12"/>
        <w:ind w:firstLine="480"/>
        <w:jc w:val="left"/>
      </w:pPr>
      <w:r>
        <w:t>符合性审查标准见下表（按以下顺序审查）：</w:t>
      </w:r>
    </w:p>
    <w:tbl>
      <w:tblPr>
        <w:tblStyle w:val="8"/>
        <w:tblW w:w="4906"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12"/>
        <w:gridCol w:w="7150"/>
      </w:tblGrid>
      <w:tr w14:paraId="368A3B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5" w:type="pct"/>
            <w:vAlign w:val="center"/>
          </w:tcPr>
          <w:p w14:paraId="634A54EA">
            <w:pPr>
              <w:pStyle w:val="12"/>
              <w:jc w:val="center"/>
            </w:pPr>
            <w:r>
              <w:t>序号</w:t>
            </w:r>
          </w:p>
        </w:tc>
        <w:tc>
          <w:tcPr>
            <w:tcW w:w="4274" w:type="pct"/>
            <w:vAlign w:val="center"/>
          </w:tcPr>
          <w:p w14:paraId="1D9D4604">
            <w:pPr>
              <w:pStyle w:val="12"/>
              <w:jc w:val="center"/>
            </w:pPr>
            <w:r>
              <w:t>具体要求</w:t>
            </w:r>
          </w:p>
        </w:tc>
      </w:tr>
      <w:tr w14:paraId="5FC29B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5" w:type="pct"/>
            <w:vAlign w:val="center"/>
          </w:tcPr>
          <w:p w14:paraId="4C73BC56">
            <w:pPr>
              <w:pStyle w:val="12"/>
              <w:jc w:val="center"/>
            </w:pPr>
            <w:r>
              <w:t>1</w:t>
            </w:r>
          </w:p>
        </w:tc>
        <w:tc>
          <w:tcPr>
            <w:tcW w:w="4274" w:type="pct"/>
            <w:vAlign w:val="center"/>
          </w:tcPr>
          <w:p w14:paraId="0A7AAE8F">
            <w:pPr>
              <w:pStyle w:val="12"/>
              <w:jc w:val="both"/>
            </w:pPr>
            <w:r>
              <w:rPr>
                <w:rFonts w:hint="eastAsia"/>
                <w:lang w:val="en-US" w:eastAsia="zh-CN"/>
              </w:rPr>
              <w:t>不满足本项目征集文件“第三章 采购需求”报价要求的</w:t>
            </w:r>
            <w:r>
              <w:rPr>
                <w:rFonts w:hint="eastAsia"/>
                <w:lang w:eastAsia="zh-CN"/>
              </w:rPr>
              <w:t>。</w:t>
            </w:r>
          </w:p>
        </w:tc>
      </w:tr>
      <w:tr w14:paraId="1B7141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5" w:type="pct"/>
            <w:vAlign w:val="center"/>
          </w:tcPr>
          <w:p w14:paraId="2A78F154">
            <w:pPr>
              <w:pStyle w:val="12"/>
              <w:jc w:val="center"/>
            </w:pPr>
            <w:r>
              <w:t>2</w:t>
            </w:r>
          </w:p>
        </w:tc>
        <w:tc>
          <w:tcPr>
            <w:tcW w:w="4274" w:type="pct"/>
            <w:vAlign w:val="center"/>
          </w:tcPr>
          <w:p w14:paraId="3A8C0DC5">
            <w:pPr>
              <w:pStyle w:val="12"/>
              <w:jc w:val="both"/>
              <w:rPr>
                <w:rFonts w:hint="eastAsia" w:eastAsiaTheme="minorEastAsia"/>
                <w:lang w:eastAsia="zh-CN"/>
              </w:rPr>
            </w:pPr>
            <w:r>
              <w:rPr>
                <w:rFonts w:hint="eastAsia"/>
                <w:lang w:eastAsia="zh-CN"/>
              </w:rPr>
              <w:t>申请文件</w:t>
            </w:r>
            <w:r>
              <w:t>电子文档不得带病毒</w:t>
            </w:r>
            <w:r>
              <w:rPr>
                <w:rFonts w:hint="eastAsia"/>
                <w:lang w:eastAsia="zh-CN"/>
              </w:rPr>
              <w:t>。</w:t>
            </w:r>
          </w:p>
        </w:tc>
      </w:tr>
      <w:tr w14:paraId="6B1285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5" w:type="pct"/>
            <w:vAlign w:val="center"/>
          </w:tcPr>
          <w:p w14:paraId="211DAF5A">
            <w:pPr>
              <w:pStyle w:val="12"/>
              <w:jc w:val="center"/>
              <w:rPr>
                <w:rFonts w:hint="eastAsia" w:eastAsiaTheme="minorEastAsia"/>
                <w:lang w:eastAsia="zh-CN"/>
              </w:rPr>
            </w:pPr>
            <w:r>
              <w:rPr>
                <w:rFonts w:hint="eastAsia"/>
                <w:lang w:val="en-US" w:eastAsia="zh-CN"/>
              </w:rPr>
              <w:t>3</w:t>
            </w:r>
          </w:p>
        </w:tc>
        <w:tc>
          <w:tcPr>
            <w:tcW w:w="4274" w:type="pct"/>
            <w:vAlign w:val="center"/>
          </w:tcPr>
          <w:p w14:paraId="4EC5F9AB">
            <w:pPr>
              <w:pStyle w:val="12"/>
              <w:jc w:val="both"/>
              <w:rPr>
                <w:rFonts w:hint="eastAsia"/>
                <w:lang w:val="en-US" w:eastAsia="zh-CN"/>
              </w:rPr>
            </w:pPr>
            <w:r>
              <w:rPr>
                <w:rFonts w:hint="eastAsia"/>
                <w:lang w:val="en-US" w:eastAsia="zh-CN"/>
              </w:rPr>
              <w:t>评审中出现下列情形之一的，征集人应当启动异常低价投标（响应）审查程序：</w:t>
            </w:r>
          </w:p>
          <w:p w14:paraId="0F85744C">
            <w:pPr>
              <w:pStyle w:val="12"/>
              <w:jc w:val="both"/>
              <w:rPr>
                <w:rFonts w:hint="eastAsia"/>
                <w:lang w:val="en-US" w:eastAsia="zh-CN"/>
              </w:rPr>
            </w:pPr>
            <w:r>
              <w:rPr>
                <w:rFonts w:hint="eastAsia"/>
                <w:lang w:val="en-US" w:eastAsia="zh-CN"/>
              </w:rPr>
              <w:t>1.投标（响应）报价低于全部通过符合性审查供应商投标（响应）报价平均值50%的，即投标（响应）报价&lt;全部通过符合性审查供应商投标（响应）报价平均值×50%；</w:t>
            </w:r>
          </w:p>
          <w:p w14:paraId="7D4C9BEF">
            <w:pPr>
              <w:pStyle w:val="12"/>
              <w:jc w:val="both"/>
              <w:rPr>
                <w:rFonts w:hint="eastAsia"/>
                <w:lang w:val="en-US" w:eastAsia="zh-CN"/>
              </w:rPr>
            </w:pPr>
            <w:r>
              <w:rPr>
                <w:rFonts w:hint="eastAsia"/>
                <w:lang w:val="en-US" w:eastAsia="zh-CN"/>
              </w:rPr>
              <w:t>2.投标（响应）报价低于通过符合性审查的次低报价供应商投标（响应）报价50%的，即投标（响应）报价&lt;通过符合性审查的次低报价供应商投标（响应）报价×50%；</w:t>
            </w:r>
          </w:p>
          <w:p w14:paraId="3DAA79C4">
            <w:pPr>
              <w:pStyle w:val="12"/>
              <w:jc w:val="both"/>
              <w:rPr>
                <w:rFonts w:hint="eastAsia"/>
                <w:lang w:val="en-US" w:eastAsia="zh-CN"/>
              </w:rPr>
            </w:pPr>
            <w:r>
              <w:rPr>
                <w:rFonts w:hint="eastAsia"/>
                <w:lang w:val="en-US" w:eastAsia="zh-CN"/>
              </w:rPr>
              <w:t>3.投标（响应）报价低于采购项目最高限价45%的，即投标（响应）报价&lt;采购项目最高限价×45%；</w:t>
            </w:r>
          </w:p>
          <w:p w14:paraId="0CE23119">
            <w:pPr>
              <w:pStyle w:val="12"/>
              <w:jc w:val="both"/>
              <w:rPr>
                <w:rFonts w:hint="eastAsia"/>
                <w:lang w:val="en-US" w:eastAsia="zh-CN"/>
              </w:rPr>
            </w:pPr>
            <w:r>
              <w:rPr>
                <w:rFonts w:hint="eastAsia"/>
                <w:lang w:val="en-US" w:eastAsia="zh-CN"/>
              </w:rPr>
              <w:t>4.征集人基于专业判断，认为供应商报价过低，有可能影响产品质量或者不能诚信履约的其他情形。</w:t>
            </w:r>
          </w:p>
          <w:p w14:paraId="3B55F172">
            <w:pPr>
              <w:pStyle w:val="12"/>
              <w:jc w:val="both"/>
              <w:rPr>
                <w:rFonts w:hint="eastAsia"/>
                <w:lang w:val="en-US" w:eastAsia="zh-CN"/>
              </w:rPr>
            </w:pPr>
            <w:r>
              <w:rPr>
                <w:rFonts w:hint="eastAsia"/>
                <w:lang w:val="en-US" w:eastAsia="zh-CN"/>
              </w:rPr>
              <w:t>征集人启动异常低价投标（响应）审查后，属于前述第1项至第4项情形的，应当要求相关供应商在评审现场合理的时间内对投标（响应）价格作出解释，提供项目具体成本测算等与报价合理性相关的书面说明及必要的证明材料，包括但不限于原材料成本、人工成本、制造费用等，给予相关供应商的合理时间一般不少于30分钟。其中，属于第3项情形，供应商已随投标（响应）文件一并提交相关书面说明及必要的证明材料的，在评审现场可不再重复提交。</w:t>
            </w:r>
          </w:p>
          <w:p w14:paraId="1EDBD427">
            <w:pPr>
              <w:pStyle w:val="12"/>
              <w:jc w:val="both"/>
              <w:rPr>
                <w:rFonts w:hint="eastAsia" w:eastAsiaTheme="minorEastAsia"/>
                <w:lang w:eastAsia="zh-CN"/>
              </w:rPr>
            </w:pPr>
            <w:r>
              <w:rPr>
                <w:rFonts w:hint="eastAsia"/>
                <w:lang w:val="en-US" w:eastAsia="zh-CN"/>
              </w:rPr>
              <w:t>征集人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审委员会应当将其作为无效投标（响应）处理。</w:t>
            </w:r>
            <w:bookmarkStart w:id="0" w:name="_GoBack"/>
            <w:bookmarkEnd w:id="0"/>
          </w:p>
        </w:tc>
      </w:tr>
      <w:tr w14:paraId="6079DF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5" w:type="pct"/>
            <w:vAlign w:val="center"/>
          </w:tcPr>
          <w:p w14:paraId="7AD1EEFC">
            <w:pPr>
              <w:pStyle w:val="12"/>
              <w:jc w:val="center"/>
              <w:rPr>
                <w:rFonts w:hint="default"/>
                <w:lang w:val="en-US" w:eastAsia="zh-CN"/>
              </w:rPr>
            </w:pPr>
            <w:r>
              <w:rPr>
                <w:rFonts w:hint="eastAsia"/>
                <w:lang w:val="en-US" w:eastAsia="zh-CN"/>
              </w:rPr>
              <w:t>4</w:t>
            </w:r>
          </w:p>
        </w:tc>
        <w:tc>
          <w:tcPr>
            <w:tcW w:w="4274" w:type="pct"/>
            <w:vAlign w:val="center"/>
          </w:tcPr>
          <w:p w14:paraId="0DAD84AE">
            <w:pPr>
              <w:pStyle w:val="12"/>
              <w:jc w:val="both"/>
              <w:rPr>
                <w:rFonts w:hint="default" w:eastAsiaTheme="minorEastAsia"/>
                <w:lang w:val="en-US" w:eastAsia="zh-CN"/>
              </w:rPr>
            </w:pPr>
            <w:r>
              <w:rPr>
                <w:rFonts w:hint="eastAsia"/>
                <w:lang w:val="en-US" w:eastAsia="zh-CN"/>
              </w:rPr>
              <w:t>属于申请文件无效情形。</w:t>
            </w:r>
          </w:p>
        </w:tc>
      </w:tr>
      <w:tr w14:paraId="3E3D9B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5" w:type="pct"/>
            <w:vAlign w:val="center"/>
          </w:tcPr>
          <w:p w14:paraId="2798BA43">
            <w:pPr>
              <w:pStyle w:val="12"/>
              <w:jc w:val="center"/>
              <w:rPr>
                <w:rFonts w:hint="eastAsia" w:eastAsiaTheme="minorEastAsia"/>
                <w:lang w:eastAsia="zh-CN"/>
              </w:rPr>
            </w:pPr>
            <w:r>
              <w:rPr>
                <w:rFonts w:hint="eastAsia"/>
                <w:lang w:val="en-US" w:eastAsia="zh-CN"/>
              </w:rPr>
              <w:t>5</w:t>
            </w:r>
          </w:p>
        </w:tc>
        <w:tc>
          <w:tcPr>
            <w:tcW w:w="4274" w:type="pct"/>
            <w:vAlign w:val="center"/>
          </w:tcPr>
          <w:p w14:paraId="3E9B219D">
            <w:pPr>
              <w:pStyle w:val="12"/>
              <w:jc w:val="both"/>
            </w:pPr>
            <w:r>
              <w:t>法律、法规、规章、规范性文件规定的其他情形。</w:t>
            </w:r>
          </w:p>
        </w:tc>
      </w:tr>
    </w:tbl>
    <w:p w14:paraId="43C63FDF">
      <w:pPr>
        <w:pStyle w:val="12"/>
        <w:jc w:val="left"/>
        <w:outlineLvl w:val="2"/>
      </w:pPr>
      <w:r>
        <w:rPr>
          <w:b/>
          <w:sz w:val="28"/>
        </w:rPr>
        <w:t>二、评审细则及标准</w:t>
      </w:r>
    </w:p>
    <w:p w14:paraId="294AE77B">
      <w:pPr>
        <w:pStyle w:val="12"/>
        <w:ind w:firstLine="480"/>
        <w:jc w:val="left"/>
        <w:rPr>
          <w:rFonts w:hint="default"/>
          <w:lang w:val="en-US" w:eastAsia="zh-CN"/>
        </w:rPr>
      </w:pPr>
      <w:r>
        <w:rPr>
          <w:rFonts w:hint="eastAsia"/>
        </w:rPr>
        <w:t>供应商</w:t>
      </w:r>
      <w:r>
        <w:t>通过</w:t>
      </w:r>
      <w:r>
        <w:rPr>
          <w:rFonts w:hint="eastAsia"/>
        </w:rPr>
        <w:t>资格性和符合性审查</w:t>
      </w:r>
      <w:r>
        <w:rPr>
          <w:rFonts w:hint="eastAsia"/>
          <w:lang w:val="en-US" w:eastAsia="zh-CN"/>
        </w:rPr>
        <w:t>即可入围，不设数量限制。</w:t>
      </w:r>
    </w:p>
    <w:p w14:paraId="7702153D">
      <w:pPr>
        <w:pStyle w:val="12"/>
        <w:jc w:val="left"/>
        <w:outlineLvl w:val="2"/>
      </w:pPr>
      <w:r>
        <w:rPr>
          <w:rFonts w:hint="eastAsia"/>
          <w:b/>
          <w:sz w:val="28"/>
          <w:lang w:val="en-US" w:eastAsia="zh-CN"/>
        </w:rPr>
        <w:t>三</w:t>
      </w:r>
      <w:r>
        <w:rPr>
          <w:b/>
          <w:sz w:val="28"/>
        </w:rPr>
        <w:t>、</w:t>
      </w:r>
      <w:r>
        <w:rPr>
          <w:rFonts w:hint="eastAsia"/>
          <w:b/>
          <w:sz w:val="28"/>
          <w:lang w:eastAsia="zh-CN"/>
        </w:rPr>
        <w:t>申请文件</w:t>
      </w:r>
      <w:r>
        <w:rPr>
          <w:b/>
          <w:sz w:val="28"/>
        </w:rPr>
        <w:t>无效情形</w:t>
      </w:r>
    </w:p>
    <w:p w14:paraId="24CD94FE">
      <w:pPr>
        <w:pStyle w:val="12"/>
        <w:ind w:firstLine="480"/>
        <w:jc w:val="left"/>
      </w:pPr>
      <w:r>
        <w:t>1.供应商未按征集公告要求成功上传</w:t>
      </w:r>
      <w:r>
        <w:rPr>
          <w:rFonts w:hint="eastAsia"/>
          <w:lang w:eastAsia="zh-CN"/>
        </w:rPr>
        <w:t>申请文件</w:t>
      </w:r>
      <w:r>
        <w:t>。</w:t>
      </w:r>
    </w:p>
    <w:p w14:paraId="30DC80ED">
      <w:pPr>
        <w:pStyle w:val="12"/>
        <w:ind w:firstLine="480"/>
        <w:jc w:val="left"/>
      </w:pPr>
      <w:r>
        <w:t>2.不符合本项目征集文件中规定的其他实质性要求的。</w:t>
      </w:r>
    </w:p>
    <w:p w14:paraId="0186584B">
      <w:pPr>
        <w:pStyle w:val="12"/>
        <w:ind w:firstLine="480"/>
        <w:jc w:val="left"/>
      </w:pPr>
      <w:r>
        <w:rPr>
          <w:rFonts w:hint="eastAsia"/>
          <w:lang w:val="en-US" w:eastAsia="zh-CN"/>
        </w:rPr>
        <w:t>3</w:t>
      </w:r>
      <w:r>
        <w:t>.</w:t>
      </w:r>
      <w:r>
        <w:rPr>
          <w:rFonts w:hint="eastAsia"/>
          <w:lang w:eastAsia="zh-CN"/>
        </w:rPr>
        <w:t>申请文件</w:t>
      </w:r>
      <w:r>
        <w:t>中附有</w:t>
      </w:r>
      <w:r>
        <w:rPr>
          <w:rFonts w:hint="eastAsia"/>
          <w:lang w:val="en-US" w:eastAsia="zh-CN"/>
        </w:rPr>
        <w:t>征集人</w:t>
      </w:r>
      <w:r>
        <w:t>不能接受的条件。</w:t>
      </w:r>
    </w:p>
    <w:p w14:paraId="2DC4AAA3">
      <w:pPr>
        <w:pStyle w:val="12"/>
        <w:jc w:val="center"/>
        <w:outlineLvl w:val="1"/>
      </w:pPr>
    </w:p>
    <w:p w14:paraId="15718ED5">
      <w:pPr>
        <w:pStyle w:val="12"/>
      </w:pPr>
      <w:r>
        <w:t xml:space="preserve"> </w:t>
      </w:r>
      <w:r>
        <w:br w:type="textWrapping"/>
      </w:r>
      <w:r>
        <w:br w:type="page"/>
      </w:r>
    </w:p>
    <w:p w14:paraId="15962C02">
      <w:pPr>
        <w:pStyle w:val="12"/>
        <w:ind w:firstLine="480"/>
        <w:jc w:val="center"/>
        <w:outlineLvl w:val="1"/>
      </w:pPr>
      <w:r>
        <w:rPr>
          <w:b/>
          <w:sz w:val="36"/>
        </w:rPr>
        <w:t>第</w:t>
      </w:r>
      <w:r>
        <w:rPr>
          <w:rFonts w:hint="eastAsia"/>
          <w:b/>
          <w:sz w:val="36"/>
          <w:lang w:val="en-US" w:eastAsia="zh-CN"/>
        </w:rPr>
        <w:t>六</w:t>
      </w:r>
      <w:r>
        <w:rPr>
          <w:b/>
          <w:sz w:val="36"/>
        </w:rPr>
        <w:t xml:space="preserve">章  </w:t>
      </w:r>
      <w:r>
        <w:rPr>
          <w:rFonts w:hint="eastAsia"/>
          <w:b/>
          <w:sz w:val="36"/>
          <w:lang w:eastAsia="zh-CN"/>
        </w:rPr>
        <w:t>申请文件</w:t>
      </w:r>
      <w:r>
        <w:rPr>
          <w:b/>
          <w:sz w:val="36"/>
        </w:rPr>
        <w:t>格式</w:t>
      </w:r>
    </w:p>
    <w:p w14:paraId="78974A1E">
      <w:pPr>
        <w:pStyle w:val="12"/>
        <w:jc w:val="left"/>
        <w:outlineLvl w:val="2"/>
      </w:pPr>
      <w:r>
        <w:rPr>
          <w:rFonts w:hint="eastAsia"/>
          <w:b/>
          <w:sz w:val="28"/>
          <w:lang w:eastAsia="zh-CN"/>
        </w:rPr>
        <w:t>申请文件</w:t>
      </w:r>
      <w:r>
        <w:rPr>
          <w:b/>
          <w:sz w:val="28"/>
        </w:rPr>
        <w:t>格式内容</w:t>
      </w:r>
    </w:p>
    <w:p w14:paraId="0C5E1FC4">
      <w:pPr>
        <w:pStyle w:val="12"/>
        <w:jc w:val="left"/>
        <w:rPr>
          <w:rFonts w:hint="eastAsia"/>
          <w:color w:val="FF0000"/>
          <w:lang w:val="en-US" w:eastAsia="zh-CN"/>
        </w:rPr>
      </w:pPr>
      <w:r>
        <w:rPr>
          <w:rFonts w:hint="eastAsia"/>
          <w:color w:val="FF0000"/>
          <w:lang w:val="en-US" w:eastAsia="zh-CN"/>
        </w:rPr>
        <w:t>供应商一般资格要求</w:t>
      </w:r>
    </w:p>
    <w:p w14:paraId="2B6928E8">
      <w:pPr>
        <w:pStyle w:val="12"/>
        <w:ind w:firstLine="480"/>
        <w:jc w:val="both"/>
        <w:rPr>
          <w:rFonts w:hint="eastAsia" w:eastAsiaTheme="minorEastAsia"/>
          <w:lang w:eastAsia="zh-CN"/>
        </w:rPr>
      </w:pPr>
      <w:r>
        <w:t>详见附件：</w:t>
      </w:r>
      <w:r>
        <w:rPr>
          <w:rFonts w:hint="eastAsia"/>
          <w:lang w:val="en-US" w:eastAsia="zh-CN"/>
        </w:rPr>
        <w:t xml:space="preserve"> </w:t>
      </w:r>
      <w:r>
        <w:t>供应商资格要求</w:t>
      </w:r>
      <w:r>
        <w:rPr>
          <w:rFonts w:hint="eastAsia"/>
          <w:lang w:val="en-US" w:eastAsia="zh-CN"/>
        </w:rPr>
        <w:t>1</w:t>
      </w:r>
    </w:p>
    <w:p w14:paraId="2B5A20E6">
      <w:pPr>
        <w:pStyle w:val="12"/>
        <w:ind w:firstLine="480"/>
        <w:jc w:val="both"/>
        <w:rPr>
          <w:rFonts w:hint="eastAsia"/>
          <w:lang w:val="en-US" w:eastAsia="zh-CN"/>
        </w:rPr>
      </w:pPr>
      <w:r>
        <w:t>详见附件： 供应商资格要求</w:t>
      </w:r>
      <w:r>
        <w:rPr>
          <w:rFonts w:hint="eastAsia"/>
          <w:lang w:val="en-US" w:eastAsia="zh-CN"/>
        </w:rPr>
        <w:t>2</w:t>
      </w:r>
    </w:p>
    <w:p w14:paraId="06F435E9">
      <w:pPr>
        <w:pStyle w:val="12"/>
        <w:ind w:firstLine="480"/>
        <w:jc w:val="both"/>
        <w:rPr>
          <w:rFonts w:hint="eastAsia"/>
          <w:lang w:val="en-US" w:eastAsia="zh-CN"/>
        </w:rPr>
      </w:pPr>
      <w:r>
        <w:t>详见附件： 供应商资格要求</w:t>
      </w:r>
      <w:r>
        <w:rPr>
          <w:rFonts w:hint="eastAsia"/>
          <w:lang w:val="en-US" w:eastAsia="zh-CN"/>
        </w:rPr>
        <w:t>3</w:t>
      </w:r>
    </w:p>
    <w:p w14:paraId="15FF1CAC">
      <w:pPr>
        <w:pStyle w:val="12"/>
        <w:ind w:firstLine="480"/>
        <w:jc w:val="both"/>
        <w:rPr>
          <w:rFonts w:hint="eastAsia"/>
          <w:lang w:val="en-US" w:eastAsia="zh-CN"/>
        </w:rPr>
      </w:pPr>
      <w:r>
        <w:t>详见附件：</w:t>
      </w:r>
      <w:r>
        <w:rPr>
          <w:rFonts w:hint="eastAsia"/>
          <w:lang w:val="en-US" w:eastAsia="zh-CN"/>
        </w:rPr>
        <w:t xml:space="preserve"> </w:t>
      </w:r>
      <w:r>
        <w:t>供应商资格要求</w:t>
      </w:r>
      <w:r>
        <w:rPr>
          <w:rFonts w:hint="eastAsia"/>
          <w:lang w:val="en-US" w:eastAsia="zh-CN"/>
        </w:rPr>
        <w:t>4</w:t>
      </w:r>
    </w:p>
    <w:p w14:paraId="3C314FB8">
      <w:pPr>
        <w:pStyle w:val="12"/>
        <w:ind w:firstLine="480"/>
        <w:jc w:val="both"/>
        <w:rPr>
          <w:rFonts w:hint="eastAsia"/>
          <w:lang w:val="en-US" w:eastAsia="zh-CN"/>
        </w:rPr>
      </w:pPr>
      <w:r>
        <w:t>详见附件：</w:t>
      </w:r>
      <w:r>
        <w:rPr>
          <w:rFonts w:hint="eastAsia"/>
          <w:lang w:val="en-US" w:eastAsia="zh-CN"/>
        </w:rPr>
        <w:t xml:space="preserve"> </w:t>
      </w:r>
      <w:r>
        <w:t>供应商资格要求</w:t>
      </w:r>
      <w:r>
        <w:rPr>
          <w:rFonts w:hint="eastAsia"/>
          <w:lang w:val="en-US" w:eastAsia="zh-CN"/>
        </w:rPr>
        <w:t>5</w:t>
      </w:r>
    </w:p>
    <w:p w14:paraId="3C0E3FFB">
      <w:pPr>
        <w:pStyle w:val="12"/>
        <w:ind w:firstLine="480"/>
        <w:jc w:val="both"/>
        <w:rPr>
          <w:rFonts w:hint="eastAsia"/>
          <w:lang w:val="en-US" w:eastAsia="zh-CN"/>
        </w:rPr>
      </w:pPr>
      <w:r>
        <w:t>详见附件：</w:t>
      </w:r>
      <w:r>
        <w:rPr>
          <w:rFonts w:hint="eastAsia"/>
          <w:lang w:val="en-US" w:eastAsia="zh-CN"/>
        </w:rPr>
        <w:t xml:space="preserve"> </w:t>
      </w:r>
      <w:r>
        <w:t>供应商资格要求</w:t>
      </w:r>
      <w:r>
        <w:rPr>
          <w:rFonts w:hint="eastAsia"/>
          <w:lang w:val="en-US" w:eastAsia="zh-CN"/>
        </w:rPr>
        <w:t>6</w:t>
      </w:r>
    </w:p>
    <w:p w14:paraId="2DE88FB2">
      <w:pPr>
        <w:pStyle w:val="12"/>
        <w:ind w:firstLine="480"/>
        <w:jc w:val="both"/>
        <w:rPr>
          <w:rFonts w:hint="eastAsia"/>
          <w:lang w:val="en-US" w:eastAsia="zh-CN"/>
        </w:rPr>
      </w:pPr>
      <w:r>
        <w:t>详见附件：</w:t>
      </w:r>
      <w:r>
        <w:rPr>
          <w:rFonts w:hint="eastAsia"/>
          <w:lang w:val="en-US" w:eastAsia="zh-CN"/>
        </w:rPr>
        <w:t xml:space="preserve"> </w:t>
      </w:r>
      <w:r>
        <w:t>供应商资格要求</w:t>
      </w:r>
      <w:r>
        <w:rPr>
          <w:rFonts w:hint="eastAsia"/>
          <w:lang w:val="en-US" w:eastAsia="zh-CN"/>
        </w:rPr>
        <w:t>7</w:t>
      </w:r>
    </w:p>
    <w:p w14:paraId="59687317">
      <w:pPr>
        <w:pStyle w:val="12"/>
        <w:ind w:firstLine="480"/>
        <w:jc w:val="both"/>
        <w:rPr>
          <w:rFonts w:hint="eastAsia"/>
          <w:lang w:val="en-US" w:eastAsia="zh-CN"/>
        </w:rPr>
      </w:pPr>
      <w:r>
        <w:t>详见附件：</w:t>
      </w:r>
      <w:r>
        <w:rPr>
          <w:rFonts w:hint="eastAsia"/>
          <w:lang w:val="en-US" w:eastAsia="zh-CN"/>
        </w:rPr>
        <w:t xml:space="preserve"> </w:t>
      </w:r>
      <w:r>
        <w:t>供应商资格要求</w:t>
      </w:r>
      <w:r>
        <w:rPr>
          <w:rFonts w:hint="eastAsia"/>
          <w:lang w:val="en-US" w:eastAsia="zh-CN"/>
        </w:rPr>
        <w:t>8</w:t>
      </w:r>
    </w:p>
    <w:p w14:paraId="37F725DC">
      <w:pPr>
        <w:pStyle w:val="12"/>
        <w:ind w:firstLine="480"/>
        <w:jc w:val="both"/>
        <w:rPr>
          <w:rFonts w:hint="eastAsia"/>
        </w:rPr>
      </w:pPr>
      <w:r>
        <w:t>详见附件：</w:t>
      </w:r>
      <w:r>
        <w:rPr>
          <w:rFonts w:hint="eastAsia"/>
          <w:lang w:val="en-US" w:eastAsia="zh-CN"/>
        </w:rPr>
        <w:t xml:space="preserve"> </w:t>
      </w:r>
      <w:r>
        <w:rPr>
          <w:rFonts w:hint="eastAsia"/>
        </w:rPr>
        <w:t>党政机关会议定点</w:t>
      </w:r>
      <w:r>
        <w:rPr>
          <w:rFonts w:hint="eastAsia"/>
          <w:lang w:val="en-US" w:eastAsia="zh-CN"/>
        </w:rPr>
        <w:t>场所</w:t>
      </w:r>
      <w:r>
        <w:rPr>
          <w:rFonts w:hint="eastAsia"/>
        </w:rPr>
        <w:t>供应商承诺函</w:t>
      </w:r>
    </w:p>
    <w:p w14:paraId="1B768CE1">
      <w:pPr>
        <w:pStyle w:val="12"/>
        <w:ind w:firstLine="480"/>
        <w:jc w:val="both"/>
      </w:pPr>
      <w:r>
        <w:t>详见附件：</w:t>
      </w:r>
      <w:r>
        <w:rPr>
          <w:rFonts w:hint="eastAsia"/>
          <w:lang w:val="en-US" w:eastAsia="zh-CN"/>
        </w:rPr>
        <w:t xml:space="preserve"> </w:t>
      </w:r>
      <w:r>
        <w:rPr>
          <w:rFonts w:hint="eastAsia"/>
          <w:lang w:eastAsia="zh-CN"/>
        </w:rPr>
        <w:t>供应商基本情况表</w:t>
      </w:r>
    </w:p>
    <w:p w14:paraId="1A1731AE">
      <w:pPr>
        <w:pStyle w:val="12"/>
        <w:ind w:firstLine="480"/>
        <w:jc w:val="both"/>
        <w:rPr>
          <w:rFonts w:hint="eastAsia"/>
        </w:rPr>
      </w:pPr>
      <w:r>
        <w:t>详见附件：</w:t>
      </w:r>
      <w:r>
        <w:rPr>
          <w:rFonts w:hint="eastAsia"/>
          <w:lang w:val="en-US" w:eastAsia="zh-CN"/>
        </w:rPr>
        <w:t xml:space="preserve"> </w:t>
      </w:r>
      <w:r>
        <w:t>供应商认为需要加以说明的其他内容</w:t>
      </w:r>
    </w:p>
    <w:p w14:paraId="69D4F257">
      <w:pPr>
        <w:pStyle w:val="12"/>
        <w:ind w:firstLine="480"/>
        <w:jc w:val="both"/>
      </w:pPr>
      <w:r>
        <w:t>详见附件：</w:t>
      </w:r>
      <w:r>
        <w:rPr>
          <w:rFonts w:hint="eastAsia"/>
          <w:lang w:val="en-US" w:eastAsia="zh-CN"/>
        </w:rPr>
        <w:t xml:space="preserve"> </w:t>
      </w:r>
      <w:r>
        <w:t>法定代表人(负责人)证明书</w:t>
      </w:r>
    </w:p>
    <w:p w14:paraId="09B3C1B2">
      <w:pPr>
        <w:pStyle w:val="12"/>
        <w:ind w:firstLine="480"/>
        <w:jc w:val="both"/>
      </w:pPr>
      <w:r>
        <w:t>详见附件：</w:t>
      </w:r>
      <w:r>
        <w:rPr>
          <w:rFonts w:hint="eastAsia"/>
          <w:lang w:val="en-US" w:eastAsia="zh-CN"/>
        </w:rPr>
        <w:t xml:space="preserve"> </w:t>
      </w:r>
      <w:r>
        <w:rPr>
          <w:rFonts w:hint="eastAsia"/>
          <w:lang w:eastAsia="zh-CN"/>
        </w:rPr>
        <w:t>申请文件</w:t>
      </w:r>
      <w:r>
        <w:t>签署授权委托书</w:t>
      </w:r>
    </w:p>
    <w:p w14:paraId="6A8810DE">
      <w:pPr>
        <w:pStyle w:val="12"/>
        <w:ind w:firstLine="1000" w:firstLineChars="500"/>
        <w:jc w:val="left"/>
        <w:rPr>
          <w:rFonts w:hint="eastAsia"/>
          <w:lang w:val="en-US" w:eastAsia="zh-CN"/>
        </w:rPr>
      </w:pPr>
    </w:p>
    <w:p w14:paraId="0659C7BB">
      <w:pPr>
        <w:pStyle w:val="12"/>
        <w:ind w:firstLine="200" w:firstLineChars="100"/>
        <w:jc w:val="left"/>
        <w:rPr>
          <w:rFonts w:hint="eastAsia"/>
          <w:color w:val="FF0000"/>
          <w:lang w:val="en-US" w:eastAsia="zh-CN"/>
        </w:rPr>
      </w:pPr>
      <w:r>
        <w:rPr>
          <w:rFonts w:hint="eastAsia"/>
          <w:color w:val="FF0000"/>
          <w:lang w:val="en-US" w:eastAsia="zh-CN"/>
        </w:rPr>
        <w:t>供应商特殊资格要求</w:t>
      </w:r>
    </w:p>
    <w:p w14:paraId="60D59BAC">
      <w:pPr>
        <w:pStyle w:val="12"/>
        <w:ind w:firstLine="480"/>
        <w:jc w:val="both"/>
        <w:rPr>
          <w:rFonts w:hint="default" w:eastAsiaTheme="minorEastAsia"/>
          <w:lang w:val="en-US" w:eastAsia="zh-CN"/>
        </w:rPr>
      </w:pPr>
      <w:r>
        <w:t>详见附件：</w:t>
      </w:r>
      <w:r>
        <w:rPr>
          <w:rFonts w:hint="eastAsia"/>
          <w:lang w:val="en-US" w:eastAsia="zh-CN"/>
        </w:rPr>
        <w:t xml:space="preserve"> 报价一览表</w:t>
      </w:r>
    </w:p>
    <w:p w14:paraId="6B3FEF18">
      <w:pPr>
        <w:pStyle w:val="12"/>
        <w:ind w:firstLine="602" w:firstLineChars="300"/>
        <w:jc w:val="left"/>
        <w:rPr>
          <w:rFonts w:hint="default" w:ascii="宋体" w:hAnsi="宋体"/>
          <w:b/>
          <w:kern w:val="0"/>
          <w:szCs w:val="21"/>
          <w:lang w:val="en-US" w:eastAsia="zh-CN"/>
        </w:rPr>
      </w:pPr>
    </w:p>
    <w:p w14:paraId="74DB03D6">
      <w:pPr>
        <w:pStyle w:val="12"/>
        <w:ind w:firstLine="960"/>
        <w:jc w:val="left"/>
        <w:rPr>
          <w:rFonts w:hint="eastAsia"/>
          <w:lang w:val="en-US" w:eastAsia="zh-CN"/>
        </w:rPr>
      </w:pPr>
    </w:p>
    <w:p w14:paraId="7D505662">
      <w:pPr>
        <w:pStyle w:val="12"/>
        <w:jc w:val="left"/>
        <w:rPr>
          <w:sz w:val="24"/>
          <w:szCs w:val="24"/>
        </w:rPr>
      </w:pPr>
      <w:r>
        <w:rPr>
          <w:rFonts w:hint="eastAsia" w:asciiTheme="minorHAnsi" w:hAnsiTheme="minorHAnsi" w:eastAsiaTheme="minorEastAsia" w:cstheme="minorBidi"/>
          <w:b/>
          <w:snapToGrid/>
          <w:color w:val="auto"/>
          <w:kern w:val="0"/>
          <w:sz w:val="24"/>
          <w:szCs w:val="24"/>
          <w:lang w:val="en-US" w:eastAsia="zh-CN"/>
        </w:rPr>
        <w:t>申请</w:t>
      </w:r>
      <w:r>
        <w:rPr>
          <w:b/>
          <w:sz w:val="24"/>
          <w:szCs w:val="24"/>
        </w:rPr>
        <w:t>说明：</w:t>
      </w:r>
    </w:p>
    <w:p w14:paraId="63539E3F">
      <w:pPr>
        <w:pStyle w:val="12"/>
        <w:ind w:firstLine="480"/>
        <w:jc w:val="left"/>
      </w:pPr>
      <w:r>
        <w:rPr>
          <w:b/>
        </w:rPr>
        <w:t>1</w:t>
      </w:r>
      <w:r>
        <w:rPr>
          <w:rFonts w:hint="eastAsia"/>
          <w:b/>
          <w:lang w:eastAsia="zh-CN"/>
        </w:rPr>
        <w:t>.</w:t>
      </w:r>
      <w:r>
        <w:rPr>
          <w:b/>
        </w:rPr>
        <w:t>本项目为网上电子</w:t>
      </w:r>
      <w:r>
        <w:rPr>
          <w:rFonts w:hint="eastAsia"/>
          <w:b/>
          <w:lang w:val="en-US" w:eastAsia="zh-CN"/>
        </w:rPr>
        <w:t>申请</w:t>
      </w:r>
      <w:r>
        <w:rPr>
          <w:b/>
        </w:rPr>
        <w:t>项目，</w:t>
      </w:r>
      <w:r>
        <w:rPr>
          <w:rFonts w:hint="eastAsia"/>
          <w:b/>
          <w:lang w:eastAsia="zh-CN"/>
        </w:rPr>
        <w:t>申请文件</w:t>
      </w:r>
      <w:r>
        <w:rPr>
          <w:b/>
        </w:rPr>
        <w:t>不需法人或授权委托人另行签字，无需加盖单位公章，征集文件中标注盖章的除外。</w:t>
      </w:r>
    </w:p>
    <w:p w14:paraId="7825469B">
      <w:pPr>
        <w:pStyle w:val="12"/>
        <w:ind w:firstLine="480"/>
        <w:jc w:val="left"/>
        <w:rPr>
          <w:b/>
        </w:rPr>
      </w:pPr>
      <w:r>
        <w:rPr>
          <w:rFonts w:hint="eastAsia"/>
          <w:b/>
          <w:lang w:val="en-US" w:eastAsia="zh-CN"/>
        </w:rPr>
        <w:t>2.</w:t>
      </w:r>
      <w:r>
        <w:rPr>
          <w:b/>
        </w:rPr>
        <w:t>供应商在编辑</w:t>
      </w:r>
      <w:r>
        <w:rPr>
          <w:rFonts w:hint="eastAsia"/>
          <w:b/>
          <w:lang w:eastAsia="zh-CN"/>
        </w:rPr>
        <w:t>申请文件</w:t>
      </w:r>
      <w:r>
        <w:rPr>
          <w:b/>
        </w:rPr>
        <w:t>时，请按照</w:t>
      </w:r>
      <w:r>
        <w:rPr>
          <w:rFonts w:hint="eastAsia"/>
          <w:b/>
          <w:lang w:eastAsia="zh-CN"/>
        </w:rPr>
        <w:t>申请文件</w:t>
      </w:r>
      <w:r>
        <w:rPr>
          <w:b/>
        </w:rPr>
        <w:t>格式上传到对应位置，未按格式要求上传到对应位置的将可能导致</w:t>
      </w:r>
      <w:r>
        <w:rPr>
          <w:rFonts w:hint="eastAsia"/>
          <w:b/>
          <w:lang w:val="en-US" w:eastAsia="zh-CN"/>
        </w:rPr>
        <w:t>申请</w:t>
      </w:r>
      <w:r>
        <w:rPr>
          <w:b/>
        </w:rPr>
        <w:t>无效，一切后果由供应商自行承担。</w:t>
      </w:r>
    </w:p>
    <w:p w14:paraId="273D600B">
      <w:pPr>
        <w:pStyle w:val="12"/>
        <w:ind w:firstLine="480"/>
        <w:jc w:val="left"/>
        <w:rPr>
          <w:rFonts w:hint="default"/>
          <w:b/>
          <w:color w:val="FF0000"/>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14:paraId="235DB643">
      <w:pPr>
        <w:pStyle w:val="12"/>
        <w:jc w:val="center"/>
        <w:outlineLvl w:val="1"/>
      </w:pPr>
      <w:r>
        <w:rPr>
          <w:b/>
          <w:sz w:val="36"/>
        </w:rPr>
        <w:t>第</w:t>
      </w:r>
      <w:r>
        <w:rPr>
          <w:rFonts w:hint="eastAsia"/>
          <w:b/>
          <w:sz w:val="36"/>
          <w:lang w:val="en-US" w:eastAsia="zh-CN"/>
        </w:rPr>
        <w:t>七</w:t>
      </w:r>
      <w:r>
        <w:rPr>
          <w:b/>
          <w:sz w:val="36"/>
        </w:rPr>
        <w:t>章 框架协议文本</w:t>
      </w:r>
    </w:p>
    <w:p w14:paraId="794CD3DF">
      <w:pPr>
        <w:spacing w:line="500" w:lineRule="exact"/>
        <w:ind w:firstLine="420" w:firstLineChars="200"/>
        <w:rPr>
          <w:rFonts w:hint="eastAsia" w:ascii="宋体" w:hAnsi="宋体" w:eastAsia="宋体" w:cs="宋体"/>
          <w:szCs w:val="21"/>
          <w:lang w:eastAsia="zh-CN"/>
        </w:rPr>
      </w:pPr>
      <w:r>
        <w:rPr>
          <w:rFonts w:hint="eastAsia" w:ascii="宋体" w:hAnsi="宋体" w:cs="宋体"/>
          <w:szCs w:val="21"/>
        </w:rPr>
        <w:t>协议名称：</w:t>
      </w:r>
      <w:r>
        <w:rPr>
          <w:rFonts w:hint="eastAsia"/>
        </w:rPr>
        <w:t>2</w:t>
      </w:r>
      <w:r>
        <w:t>02</w:t>
      </w:r>
      <w:r>
        <w:rPr>
          <w:rFonts w:hint="eastAsia" w:eastAsia="宋体"/>
          <w:lang w:val="en-US" w:eastAsia="zh-CN"/>
        </w:rPr>
        <w:t>6</w:t>
      </w:r>
      <w:r>
        <w:t>-202</w:t>
      </w:r>
      <w:r>
        <w:rPr>
          <w:rFonts w:hint="eastAsia" w:eastAsia="宋体"/>
          <w:lang w:val="en-US" w:eastAsia="zh-CN"/>
        </w:rPr>
        <w:t>7</w:t>
      </w:r>
      <w:r>
        <w:rPr>
          <w:rFonts w:hint="eastAsia"/>
        </w:rPr>
        <w:t>年度党政机关会议定点</w:t>
      </w:r>
      <w:r>
        <w:rPr>
          <w:rFonts w:hint="eastAsia"/>
          <w:lang w:val="en-US" w:eastAsia="zh-CN"/>
        </w:rPr>
        <w:t>场所</w:t>
      </w:r>
      <w:r>
        <w:rPr>
          <w:rFonts w:hint="eastAsia"/>
        </w:rPr>
        <w:t>框架协议采购协议</w:t>
      </w:r>
    </w:p>
    <w:p w14:paraId="72F70AA6">
      <w:pPr>
        <w:spacing w:line="500" w:lineRule="exact"/>
        <w:ind w:firstLine="420" w:firstLineChars="200"/>
        <w:rPr>
          <w:rFonts w:ascii="宋体" w:hAnsi="宋体" w:cs="宋体"/>
          <w:szCs w:val="21"/>
        </w:rPr>
      </w:pPr>
      <w:r>
        <w:rPr>
          <w:rFonts w:hint="eastAsia" w:ascii="宋体" w:hAnsi="宋体" w:cs="宋体"/>
          <w:szCs w:val="21"/>
        </w:rPr>
        <w:t>协议甲方：</w:t>
      </w:r>
      <w:r>
        <w:rPr>
          <w:rFonts w:hint="eastAsia" w:ascii="宋体" w:hAnsi="宋体" w:cs="宋体"/>
          <w:szCs w:val="21"/>
          <w:u w:val="single"/>
        </w:rPr>
        <w:t>深圳公共资源交易中心</w:t>
      </w:r>
      <w:r>
        <w:rPr>
          <w:rFonts w:hint="eastAsia" w:ascii="宋体" w:hAnsi="宋体" w:cs="宋体"/>
          <w:szCs w:val="21"/>
        </w:rPr>
        <w:t>（受深圳市财政局委托代签）</w:t>
      </w:r>
    </w:p>
    <w:p w14:paraId="5CBDA7A7">
      <w:pPr>
        <w:spacing w:line="500" w:lineRule="exact"/>
        <w:ind w:firstLine="420" w:firstLineChars="200"/>
        <w:rPr>
          <w:rFonts w:ascii="宋体" w:hAnsi="宋体" w:cs="宋体"/>
          <w:color w:val="FF0000"/>
          <w:szCs w:val="21"/>
          <w:u w:val="single"/>
        </w:rPr>
      </w:pPr>
      <w:r>
        <w:rPr>
          <w:rFonts w:hint="eastAsia" w:ascii="宋体" w:hAnsi="宋体" w:cs="宋体"/>
          <w:szCs w:val="21"/>
        </w:rPr>
        <w:t>协议乙方：</w:t>
      </w:r>
      <w:r>
        <w:rPr>
          <w:rFonts w:hint="eastAsia" w:ascii="宋体" w:hAnsi="宋体" w:cs="宋体"/>
          <w:szCs w:val="21"/>
          <w:u w:val="single"/>
          <w:lang w:val="en-US" w:eastAsia="zh-CN"/>
        </w:rPr>
        <w:t>入围供应商</w:t>
      </w:r>
    </w:p>
    <w:p w14:paraId="15D15141">
      <w:pPr>
        <w:spacing w:line="500" w:lineRule="exact"/>
        <w:ind w:firstLine="420" w:firstLineChars="200"/>
        <w:rPr>
          <w:rFonts w:ascii="宋体" w:hAnsi="宋体" w:cs="宋体"/>
          <w:szCs w:val="21"/>
        </w:rPr>
      </w:pPr>
    </w:p>
    <w:p w14:paraId="268282D8">
      <w:pPr>
        <w:spacing w:line="500" w:lineRule="exact"/>
        <w:ind w:firstLine="420" w:firstLineChars="200"/>
        <w:rPr>
          <w:rFonts w:ascii="宋体" w:hAnsi="宋体" w:cs="宋体"/>
          <w:szCs w:val="21"/>
        </w:rPr>
      </w:pPr>
      <w:r>
        <w:rPr>
          <w:rFonts w:hint="eastAsia" w:ascii="宋体" w:hAnsi="宋体" w:cs="宋体"/>
          <w:szCs w:val="21"/>
        </w:rPr>
        <w:t>甲方和乙方根据《中华人民共和国政府采购法》《中华人民共和国民法典》等相关法律法规、财政部、深圳市财政局有关文件，以及党政机关会议定点</w:t>
      </w:r>
      <w:r>
        <w:rPr>
          <w:rFonts w:hint="eastAsia" w:ascii="宋体" w:hAnsi="宋体" w:cs="宋体"/>
          <w:szCs w:val="21"/>
          <w:lang w:val="en-US" w:eastAsia="zh-CN"/>
        </w:rPr>
        <w:t>场所</w:t>
      </w:r>
      <w:r>
        <w:rPr>
          <w:rFonts w:hint="eastAsia" w:ascii="宋体" w:hAnsi="宋体" w:cs="宋体"/>
          <w:szCs w:val="21"/>
        </w:rPr>
        <w:t>项目</w:t>
      </w:r>
      <w:r>
        <w:rPr>
          <w:rFonts w:hint="eastAsia" w:ascii="宋体" w:hAnsi="宋体" w:eastAsia="宋体" w:cs="宋体"/>
          <w:szCs w:val="21"/>
          <w:lang w:val="en-US" w:eastAsia="zh-CN"/>
        </w:rPr>
        <w:t>征集</w:t>
      </w:r>
      <w:r>
        <w:rPr>
          <w:rFonts w:hint="eastAsia" w:ascii="宋体" w:hAnsi="宋体" w:cs="宋体"/>
          <w:szCs w:val="21"/>
        </w:rPr>
        <w:t>文件，经平等协商，达成如下协议：</w:t>
      </w:r>
    </w:p>
    <w:p w14:paraId="2AB5C23F">
      <w:pPr>
        <w:spacing w:line="500" w:lineRule="exact"/>
        <w:ind w:firstLine="420" w:firstLineChars="200"/>
        <w:rPr>
          <w:rFonts w:ascii="宋体" w:hAnsi="宋体" w:cs="宋体"/>
          <w:b/>
          <w:szCs w:val="21"/>
        </w:rPr>
      </w:pPr>
      <w:r>
        <w:rPr>
          <w:rFonts w:hint="eastAsia" w:ascii="宋体" w:hAnsi="宋体" w:cs="宋体"/>
          <w:b/>
          <w:szCs w:val="21"/>
        </w:rPr>
        <w:t>一、适用范围</w:t>
      </w:r>
    </w:p>
    <w:p w14:paraId="74C46B85">
      <w:pPr>
        <w:spacing w:line="500" w:lineRule="exact"/>
        <w:ind w:firstLine="420" w:firstLineChars="200"/>
        <w:rPr>
          <w:rFonts w:ascii="宋体" w:hAnsi="宋体" w:cs="宋体"/>
          <w:szCs w:val="21"/>
        </w:rPr>
      </w:pPr>
      <w:r>
        <w:rPr>
          <w:rFonts w:hint="eastAsia" w:ascii="宋体" w:hAnsi="宋体" w:cs="宋体"/>
          <w:szCs w:val="21"/>
        </w:rPr>
        <w:t>本协议条款仅适用于党政机关会议定点</w:t>
      </w:r>
      <w:r>
        <w:rPr>
          <w:rFonts w:hint="eastAsia" w:ascii="宋体" w:hAnsi="宋体" w:cs="宋体"/>
          <w:szCs w:val="21"/>
          <w:lang w:val="en-US" w:eastAsia="zh-CN"/>
        </w:rPr>
        <w:t>场所</w:t>
      </w:r>
      <w:r>
        <w:rPr>
          <w:rFonts w:hint="eastAsia" w:ascii="宋体" w:hAnsi="宋体" w:cs="宋体"/>
          <w:szCs w:val="21"/>
        </w:rPr>
        <w:t>项目。</w:t>
      </w:r>
    </w:p>
    <w:p w14:paraId="115997CC">
      <w:pPr>
        <w:spacing w:line="500" w:lineRule="exact"/>
        <w:ind w:firstLine="420" w:firstLineChars="200"/>
        <w:rPr>
          <w:rFonts w:ascii="宋体" w:hAnsi="宋体" w:cs="宋体"/>
          <w:b/>
          <w:szCs w:val="21"/>
        </w:rPr>
      </w:pPr>
      <w:r>
        <w:rPr>
          <w:rFonts w:hint="eastAsia" w:ascii="宋体" w:hAnsi="宋体" w:cs="宋体"/>
          <w:b/>
          <w:szCs w:val="21"/>
        </w:rPr>
        <w:t>二、协议的组成</w:t>
      </w:r>
    </w:p>
    <w:p w14:paraId="4F475218">
      <w:pPr>
        <w:spacing w:line="500" w:lineRule="exact"/>
        <w:ind w:firstLine="420" w:firstLineChars="200"/>
        <w:rPr>
          <w:rFonts w:ascii="宋体" w:hAnsi="宋体" w:cs="宋体"/>
          <w:szCs w:val="21"/>
        </w:rPr>
      </w:pPr>
      <w:r>
        <w:rPr>
          <w:rFonts w:hint="eastAsia" w:ascii="宋体" w:hAnsi="宋体" w:cs="宋体"/>
          <w:szCs w:val="21"/>
        </w:rPr>
        <w:t>（一）下列文件应作为本协议的组成部分：</w:t>
      </w:r>
    </w:p>
    <w:p w14:paraId="44078BD9">
      <w:pPr>
        <w:spacing w:line="500" w:lineRule="exact"/>
        <w:ind w:firstLine="420" w:firstLineChars="200"/>
        <w:rPr>
          <w:rFonts w:ascii="宋体" w:hAnsi="宋体" w:cs="宋体"/>
          <w:szCs w:val="21"/>
        </w:rPr>
      </w:pPr>
      <w:r>
        <w:rPr>
          <w:rFonts w:hint="eastAsia" w:ascii="宋体" w:hAnsi="宋体" w:cs="宋体"/>
          <w:szCs w:val="21"/>
        </w:rPr>
        <w:t>1.本协议条款；</w:t>
      </w:r>
    </w:p>
    <w:p w14:paraId="51416177">
      <w:pPr>
        <w:spacing w:line="500" w:lineRule="exact"/>
        <w:ind w:firstLine="420" w:firstLineChars="200"/>
        <w:rPr>
          <w:rFonts w:ascii="宋体" w:hAnsi="宋体" w:cs="宋体"/>
          <w:szCs w:val="21"/>
        </w:rPr>
      </w:pPr>
      <w:r>
        <w:rPr>
          <w:rFonts w:hint="eastAsia" w:ascii="宋体" w:hAnsi="宋体" w:cs="宋体"/>
          <w:szCs w:val="21"/>
        </w:rPr>
        <w:t>2.</w:t>
      </w:r>
      <w:r>
        <w:rPr>
          <w:rFonts w:hint="eastAsia" w:ascii="宋体" w:hAnsi="宋体" w:eastAsia="宋体" w:cs="宋体"/>
          <w:szCs w:val="21"/>
          <w:lang w:val="en-US" w:eastAsia="zh-CN"/>
        </w:rPr>
        <w:t>征集</w:t>
      </w:r>
      <w:r>
        <w:rPr>
          <w:rFonts w:hint="eastAsia" w:ascii="宋体" w:hAnsi="宋体" w:cs="宋体"/>
          <w:szCs w:val="21"/>
        </w:rPr>
        <w:t>文件及</w:t>
      </w:r>
      <w:r>
        <w:rPr>
          <w:rFonts w:hint="eastAsia" w:ascii="宋体" w:hAnsi="宋体" w:eastAsia="宋体" w:cs="宋体"/>
          <w:szCs w:val="21"/>
          <w:lang w:val="en-US" w:eastAsia="zh-CN"/>
        </w:rPr>
        <w:t>征集</w:t>
      </w:r>
      <w:r>
        <w:rPr>
          <w:rFonts w:hint="eastAsia" w:ascii="宋体" w:hAnsi="宋体" w:cs="宋体"/>
          <w:szCs w:val="21"/>
        </w:rPr>
        <w:t>文件的澄清、修改文件；</w:t>
      </w:r>
    </w:p>
    <w:p w14:paraId="0638E445">
      <w:pPr>
        <w:spacing w:line="500" w:lineRule="exact"/>
        <w:ind w:firstLine="420" w:firstLineChars="200"/>
        <w:rPr>
          <w:rFonts w:ascii="宋体" w:hAnsi="宋体" w:cs="宋体"/>
          <w:szCs w:val="21"/>
        </w:rPr>
      </w:pPr>
      <w:r>
        <w:rPr>
          <w:rFonts w:hint="eastAsia" w:ascii="宋体" w:hAnsi="宋体" w:cs="宋体"/>
          <w:szCs w:val="21"/>
        </w:rPr>
        <w:t>3.</w:t>
      </w:r>
      <w:r>
        <w:rPr>
          <w:rFonts w:hint="eastAsia" w:ascii="宋体" w:hAnsi="宋体" w:eastAsia="宋体" w:cs="宋体"/>
          <w:szCs w:val="21"/>
          <w:lang w:val="en-US" w:eastAsia="zh-CN"/>
        </w:rPr>
        <w:t>申请文件</w:t>
      </w:r>
      <w:r>
        <w:rPr>
          <w:rFonts w:hint="eastAsia" w:ascii="宋体" w:hAnsi="宋体" w:cs="宋体"/>
          <w:szCs w:val="21"/>
        </w:rPr>
        <w:t>及</w:t>
      </w:r>
      <w:r>
        <w:rPr>
          <w:rFonts w:hint="eastAsia" w:ascii="宋体" w:hAnsi="宋体" w:eastAsia="宋体" w:cs="宋体"/>
          <w:szCs w:val="21"/>
          <w:lang w:val="en-US" w:eastAsia="zh-CN"/>
        </w:rPr>
        <w:t>申请文件</w:t>
      </w:r>
      <w:r>
        <w:rPr>
          <w:rFonts w:hint="eastAsia" w:ascii="宋体" w:hAnsi="宋体" w:cs="宋体"/>
          <w:szCs w:val="21"/>
        </w:rPr>
        <w:t>的澄清、修改文件；</w:t>
      </w:r>
    </w:p>
    <w:p w14:paraId="77953081">
      <w:pPr>
        <w:spacing w:line="500" w:lineRule="exact"/>
        <w:ind w:firstLine="420" w:firstLineChars="200"/>
        <w:rPr>
          <w:rFonts w:ascii="宋体" w:hAnsi="宋体" w:cs="宋体"/>
          <w:szCs w:val="21"/>
        </w:rPr>
      </w:pPr>
      <w:r>
        <w:rPr>
          <w:rFonts w:hint="eastAsia" w:ascii="宋体" w:hAnsi="宋体" w:cs="宋体"/>
          <w:szCs w:val="21"/>
        </w:rPr>
        <w:t>4.中标通知书；</w:t>
      </w:r>
    </w:p>
    <w:p w14:paraId="2949045B">
      <w:pPr>
        <w:spacing w:line="500" w:lineRule="exact"/>
        <w:ind w:firstLine="420" w:firstLineChars="200"/>
        <w:rPr>
          <w:rFonts w:ascii="宋体" w:hAnsi="宋体" w:cs="宋体"/>
          <w:szCs w:val="21"/>
        </w:rPr>
      </w:pPr>
      <w:r>
        <w:rPr>
          <w:rFonts w:hint="eastAsia" w:ascii="宋体" w:hAnsi="宋体" w:cs="宋体"/>
          <w:szCs w:val="21"/>
        </w:rPr>
        <w:t>5.形成协议的其他有关文件。</w:t>
      </w:r>
    </w:p>
    <w:p w14:paraId="47170E5C">
      <w:pPr>
        <w:spacing w:line="500" w:lineRule="exact"/>
        <w:ind w:firstLine="420" w:firstLineChars="200"/>
        <w:rPr>
          <w:rFonts w:ascii="宋体" w:hAnsi="宋体" w:cs="宋体"/>
          <w:szCs w:val="21"/>
        </w:rPr>
      </w:pPr>
      <w:r>
        <w:rPr>
          <w:rFonts w:hint="eastAsia" w:ascii="宋体" w:hAnsi="宋体" w:cs="宋体"/>
          <w:szCs w:val="21"/>
        </w:rPr>
        <w:t>（二）上述文件互为补充和解释，如有不清或相互矛盾之处，以所列顺序在前的为准，但甲、乙双方有特别约定的除外。</w:t>
      </w:r>
    </w:p>
    <w:p w14:paraId="53E8A651">
      <w:pPr>
        <w:spacing w:line="500" w:lineRule="exact"/>
        <w:ind w:firstLine="420" w:firstLineChars="200"/>
        <w:rPr>
          <w:rFonts w:ascii="宋体" w:hAnsi="宋体" w:cs="宋体"/>
          <w:b/>
          <w:szCs w:val="21"/>
        </w:rPr>
      </w:pPr>
      <w:r>
        <w:rPr>
          <w:rFonts w:hint="eastAsia" w:ascii="宋体" w:hAnsi="宋体" w:cs="宋体"/>
          <w:b/>
          <w:szCs w:val="21"/>
        </w:rPr>
        <w:t>三、协议承诺</w:t>
      </w:r>
    </w:p>
    <w:p w14:paraId="3DA183F9">
      <w:pPr>
        <w:spacing w:line="500" w:lineRule="exact"/>
        <w:ind w:firstLine="420" w:firstLineChars="200"/>
        <w:rPr>
          <w:rFonts w:ascii="宋体" w:hAnsi="宋体" w:cs="宋体"/>
          <w:szCs w:val="21"/>
        </w:rPr>
      </w:pPr>
      <w:r>
        <w:rPr>
          <w:rFonts w:hint="eastAsia" w:ascii="宋体" w:hAnsi="宋体" w:cs="宋体"/>
          <w:szCs w:val="21"/>
        </w:rPr>
        <w:t>（一）</w:t>
      </w:r>
      <w:r>
        <w:rPr>
          <w:rFonts w:hint="eastAsia" w:ascii="宋体" w:hAnsi="宋体" w:cs="宋体"/>
          <w:szCs w:val="21"/>
          <w:lang w:val="en-US" w:eastAsia="zh-CN"/>
        </w:rPr>
        <w:t>自</w:t>
      </w:r>
      <w:r>
        <w:rPr>
          <w:rFonts w:hint="eastAsia" w:ascii="宋体" w:hAnsi="宋体" w:eastAsia="宋体" w:cs="宋体"/>
          <w:szCs w:val="21"/>
          <w:u w:val="single"/>
          <w:lang w:val="en-US" w:eastAsia="zh-CN"/>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日</w:t>
      </w:r>
      <w:r>
        <w:rPr>
          <w:rFonts w:hint="eastAsia"/>
          <w:lang w:val="en-US" w:eastAsia="zh-CN"/>
        </w:rPr>
        <w:t>起</w:t>
      </w:r>
      <w:r>
        <w:rPr>
          <w:rFonts w:hint="eastAsia" w:ascii="宋体" w:hAnsi="宋体" w:cs="宋体"/>
          <w:szCs w:val="21"/>
        </w:rPr>
        <w:t>至</w:t>
      </w:r>
      <w:r>
        <w:rPr>
          <w:rFonts w:hint="eastAsia" w:ascii="宋体" w:hAnsi="宋体" w:eastAsia="宋体" w:cs="宋体"/>
          <w:szCs w:val="21"/>
          <w:u w:val="single"/>
          <w:lang w:val="en-US" w:eastAsia="zh-CN"/>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日，甲方确定乙方为党政机关会议定点</w:t>
      </w:r>
      <w:r>
        <w:rPr>
          <w:rFonts w:hint="eastAsia" w:ascii="宋体" w:hAnsi="宋体" w:cs="宋体"/>
          <w:szCs w:val="21"/>
          <w:lang w:val="en-US" w:eastAsia="zh-CN"/>
        </w:rPr>
        <w:t>场所</w:t>
      </w:r>
      <w:r>
        <w:rPr>
          <w:rFonts w:hint="eastAsia" w:ascii="宋体" w:hAnsi="宋体" w:cs="宋体"/>
          <w:szCs w:val="21"/>
        </w:rPr>
        <w:t>。乙方应按甲方要求为服务对象提供接待服务。</w:t>
      </w:r>
    </w:p>
    <w:p w14:paraId="170BD83C">
      <w:pPr>
        <w:spacing w:line="500" w:lineRule="exact"/>
        <w:ind w:firstLine="420" w:firstLineChars="200"/>
        <w:rPr>
          <w:rFonts w:ascii="宋体" w:hAnsi="宋体" w:cs="宋体"/>
          <w:szCs w:val="21"/>
        </w:rPr>
      </w:pPr>
      <w:r>
        <w:rPr>
          <w:rFonts w:hint="eastAsia" w:ascii="宋体" w:hAnsi="宋体" w:cs="宋体"/>
          <w:szCs w:val="21"/>
        </w:rPr>
        <w:t>（二）甲方的权利：</w:t>
      </w:r>
    </w:p>
    <w:p w14:paraId="31A6F017">
      <w:pPr>
        <w:spacing w:line="500" w:lineRule="exact"/>
        <w:ind w:firstLine="420" w:firstLineChars="200"/>
        <w:rPr>
          <w:rFonts w:ascii="宋体" w:hAnsi="宋体" w:cs="宋体"/>
          <w:szCs w:val="21"/>
        </w:rPr>
      </w:pPr>
      <w:r>
        <w:rPr>
          <w:rFonts w:hint="eastAsia" w:ascii="宋体" w:hAnsi="宋体" w:cs="宋体"/>
          <w:szCs w:val="21"/>
        </w:rPr>
        <w:t>1.对乙方承诺的服务和实际提供的服务以及相关事项进行监督检查；</w:t>
      </w:r>
    </w:p>
    <w:p w14:paraId="255428F7">
      <w:pPr>
        <w:spacing w:line="500" w:lineRule="exact"/>
        <w:ind w:firstLine="420" w:firstLineChars="200"/>
        <w:rPr>
          <w:rFonts w:ascii="宋体" w:hAnsi="宋体" w:cs="宋体"/>
          <w:szCs w:val="21"/>
        </w:rPr>
      </w:pPr>
      <w:r>
        <w:rPr>
          <w:rFonts w:hint="eastAsia" w:ascii="宋体" w:hAnsi="宋体" w:cs="宋体"/>
          <w:szCs w:val="21"/>
        </w:rPr>
        <w:t>2.对乙方承诺的协议价格执行情况进行监督检查；</w:t>
      </w:r>
    </w:p>
    <w:p w14:paraId="21FEC90F">
      <w:pPr>
        <w:spacing w:line="500" w:lineRule="exact"/>
        <w:ind w:firstLine="420" w:firstLineChars="200"/>
        <w:rPr>
          <w:rFonts w:ascii="宋体" w:hAnsi="宋体" w:cs="宋体"/>
          <w:szCs w:val="21"/>
        </w:rPr>
      </w:pPr>
      <w:r>
        <w:rPr>
          <w:rFonts w:hint="eastAsia" w:ascii="宋体" w:hAnsi="宋体" w:cs="宋体"/>
          <w:szCs w:val="21"/>
        </w:rPr>
        <w:t>3.有权要求乙方对不符合协议的行为进行调整，如服务对象对乙方无正当理由拒绝提供承诺的服务和价格或提供的服务质量问题向甲方投诉，甲方接到投诉后有权进行核查，如情况属实可要求乙方及时纠正，或根据《党政机关会议定点管理办法》的有关规定，取消乙方的会议定点资格；</w:t>
      </w:r>
    </w:p>
    <w:p w14:paraId="65356BBC">
      <w:pPr>
        <w:spacing w:line="500" w:lineRule="exact"/>
        <w:ind w:firstLine="420" w:firstLineChars="200"/>
        <w:rPr>
          <w:rFonts w:ascii="宋体" w:hAnsi="宋体" w:cs="宋体"/>
          <w:szCs w:val="21"/>
        </w:rPr>
      </w:pPr>
      <w:r>
        <w:rPr>
          <w:rFonts w:hint="eastAsia" w:ascii="宋体" w:hAnsi="宋体" w:cs="宋体"/>
          <w:szCs w:val="21"/>
        </w:rPr>
        <w:t>4.甲方通过“党政机关会议定点场所管理系统”对乙方接待党政机关会议业绩自动统计，作为下一轮党政机关会议定点场所政府采购的参考依据；</w:t>
      </w:r>
    </w:p>
    <w:p w14:paraId="1D4450B2">
      <w:pPr>
        <w:spacing w:line="500" w:lineRule="exact"/>
        <w:ind w:firstLine="420" w:firstLineChars="200"/>
        <w:rPr>
          <w:rFonts w:ascii="宋体" w:hAnsi="宋体" w:cs="宋体"/>
          <w:szCs w:val="21"/>
        </w:rPr>
      </w:pPr>
      <w:r>
        <w:rPr>
          <w:rFonts w:hint="eastAsia" w:ascii="宋体" w:hAnsi="宋体" w:cs="宋体"/>
          <w:szCs w:val="21"/>
        </w:rPr>
        <w:t>5.有权在媒体上公布乙方履行协议情况。</w:t>
      </w:r>
    </w:p>
    <w:p w14:paraId="18187185">
      <w:pPr>
        <w:spacing w:line="500" w:lineRule="exact"/>
        <w:ind w:firstLine="420" w:firstLineChars="200"/>
        <w:rPr>
          <w:rFonts w:ascii="宋体" w:hAnsi="宋体" w:cs="宋体"/>
          <w:szCs w:val="21"/>
        </w:rPr>
      </w:pPr>
      <w:r>
        <w:rPr>
          <w:rFonts w:hint="eastAsia" w:ascii="宋体" w:hAnsi="宋体" w:cs="宋体"/>
          <w:szCs w:val="21"/>
        </w:rPr>
        <w:t>（三）甲方的义务：</w:t>
      </w:r>
    </w:p>
    <w:p w14:paraId="1162B37E">
      <w:pPr>
        <w:spacing w:line="500" w:lineRule="exact"/>
        <w:ind w:firstLine="420" w:firstLineChars="200"/>
        <w:rPr>
          <w:rFonts w:ascii="宋体" w:hAnsi="宋体" w:cs="宋体"/>
          <w:szCs w:val="21"/>
        </w:rPr>
      </w:pPr>
      <w:r>
        <w:rPr>
          <w:rFonts w:hint="eastAsia" w:ascii="宋体" w:hAnsi="宋体" w:cs="宋体"/>
          <w:szCs w:val="21"/>
        </w:rPr>
        <w:t>1.公布定点场所的名称、地理位置及协议价格等信息；</w:t>
      </w:r>
    </w:p>
    <w:p w14:paraId="701FF166">
      <w:pPr>
        <w:spacing w:line="500" w:lineRule="exact"/>
        <w:ind w:firstLine="420" w:firstLineChars="200"/>
        <w:rPr>
          <w:rFonts w:ascii="宋体" w:hAnsi="宋体" w:cs="宋体"/>
          <w:szCs w:val="21"/>
        </w:rPr>
      </w:pPr>
      <w:r>
        <w:rPr>
          <w:rFonts w:hint="eastAsia" w:ascii="宋体" w:hAnsi="宋体" w:cs="宋体"/>
          <w:szCs w:val="21"/>
        </w:rPr>
        <w:t>2.依据党政机关会议定点管理制度以及国库集中支付和公务卡结算方式等财务管理手段，约束党政机关到定点场所开会。</w:t>
      </w:r>
    </w:p>
    <w:p w14:paraId="63B70589">
      <w:pPr>
        <w:spacing w:line="500" w:lineRule="exact"/>
        <w:ind w:firstLine="420" w:firstLineChars="200"/>
        <w:rPr>
          <w:rFonts w:ascii="宋体" w:hAnsi="宋体" w:cs="宋体"/>
          <w:szCs w:val="21"/>
        </w:rPr>
      </w:pPr>
      <w:r>
        <w:rPr>
          <w:rFonts w:hint="eastAsia" w:ascii="宋体" w:hAnsi="宋体" w:cs="宋体"/>
          <w:szCs w:val="21"/>
        </w:rPr>
        <w:t>（四）乙方的权利：</w:t>
      </w:r>
    </w:p>
    <w:p w14:paraId="06015C74">
      <w:pPr>
        <w:spacing w:line="500" w:lineRule="exact"/>
        <w:ind w:firstLine="420" w:firstLineChars="200"/>
        <w:rPr>
          <w:rFonts w:ascii="宋体" w:hAnsi="宋体" w:cs="宋体"/>
          <w:szCs w:val="21"/>
        </w:rPr>
      </w:pPr>
      <w:r>
        <w:rPr>
          <w:rFonts w:hint="eastAsia" w:ascii="宋体" w:hAnsi="宋体" w:cs="宋体"/>
          <w:szCs w:val="21"/>
        </w:rPr>
        <w:t>1.会议举办单位不能出示有效证明，证明其属于协议服务范围的，乙方有权拒绝向其提供协议价格的服务；</w:t>
      </w:r>
    </w:p>
    <w:p w14:paraId="75F37A3E">
      <w:pPr>
        <w:spacing w:line="500" w:lineRule="exact"/>
        <w:ind w:firstLine="420" w:firstLineChars="200"/>
        <w:rPr>
          <w:rFonts w:ascii="宋体" w:hAnsi="宋体" w:cs="宋体"/>
          <w:szCs w:val="21"/>
        </w:rPr>
      </w:pPr>
      <w:r>
        <w:rPr>
          <w:rFonts w:hint="eastAsia" w:ascii="宋体" w:hAnsi="宋体" w:cs="宋体"/>
          <w:szCs w:val="21"/>
        </w:rPr>
        <w:t>2.会议举办单位要求虚开发票、提取现金、开支与会议无关费用的，乙方有权拒绝。</w:t>
      </w:r>
    </w:p>
    <w:p w14:paraId="70E059DC">
      <w:pPr>
        <w:spacing w:line="500" w:lineRule="exact"/>
        <w:ind w:firstLine="420" w:firstLineChars="200"/>
        <w:rPr>
          <w:rFonts w:ascii="宋体" w:hAnsi="宋体" w:cs="宋体"/>
          <w:szCs w:val="21"/>
        </w:rPr>
      </w:pPr>
      <w:r>
        <w:rPr>
          <w:rFonts w:hint="eastAsia" w:ascii="宋体" w:hAnsi="宋体" w:cs="宋体"/>
          <w:szCs w:val="21"/>
        </w:rPr>
        <w:t>（五）乙方的义务：</w:t>
      </w:r>
    </w:p>
    <w:p w14:paraId="182E7CD2">
      <w:pPr>
        <w:spacing w:line="500" w:lineRule="exact"/>
        <w:ind w:firstLine="420" w:firstLineChars="200"/>
        <w:rPr>
          <w:rFonts w:ascii="宋体" w:hAnsi="宋体" w:cs="宋体"/>
          <w:szCs w:val="21"/>
        </w:rPr>
      </w:pPr>
      <w:r>
        <w:rPr>
          <w:rFonts w:hint="eastAsia" w:ascii="宋体" w:hAnsi="宋体" w:cs="宋体"/>
          <w:szCs w:val="21"/>
        </w:rPr>
        <w:t>1.乙方应按</w:t>
      </w:r>
      <w:r>
        <w:rPr>
          <w:rFonts w:hint="eastAsia" w:ascii="宋体" w:hAnsi="宋体" w:eastAsia="宋体" w:cs="宋体"/>
          <w:szCs w:val="21"/>
          <w:lang w:val="en-US" w:eastAsia="zh-CN"/>
        </w:rPr>
        <w:t>征集</w:t>
      </w:r>
      <w:r>
        <w:rPr>
          <w:rFonts w:hint="eastAsia" w:ascii="宋体" w:hAnsi="宋体" w:cs="宋体"/>
          <w:szCs w:val="21"/>
        </w:rPr>
        <w:t>文件的要求，提供本协议规定的会议接待服务。</w:t>
      </w:r>
    </w:p>
    <w:p w14:paraId="1501E740">
      <w:pPr>
        <w:spacing w:line="500" w:lineRule="exact"/>
        <w:ind w:firstLine="420" w:firstLineChars="200"/>
        <w:rPr>
          <w:rFonts w:ascii="宋体" w:hAnsi="宋体" w:cs="宋体"/>
          <w:szCs w:val="21"/>
        </w:rPr>
      </w:pPr>
      <w:r>
        <w:rPr>
          <w:rFonts w:hint="eastAsia" w:ascii="宋体" w:hAnsi="宋体" w:cs="宋体"/>
          <w:szCs w:val="21"/>
        </w:rPr>
        <w:t>在协议期内，乙方必须持有和确保下列证照处于合法有效期内：营业执照、中华人民共和国组织机构代码证、</w:t>
      </w:r>
      <w:r>
        <w:rPr>
          <w:rFonts w:hint="eastAsia"/>
          <w:lang w:val="en-US" w:eastAsia="zh-CN"/>
        </w:rPr>
        <w:t>卫生许可证、餐饮经营许可证</w:t>
      </w:r>
      <w:r>
        <w:rPr>
          <w:rFonts w:hint="eastAsia" w:ascii="宋体" w:hAnsi="宋体" w:cs="宋体"/>
          <w:szCs w:val="21"/>
        </w:rPr>
        <w:t>、特种行业许可证、消防安全检查合格证、锅炉、电梯（未安装使用的除外）安全检查合格证明。</w:t>
      </w:r>
    </w:p>
    <w:p w14:paraId="13A0A48D">
      <w:pPr>
        <w:spacing w:line="500" w:lineRule="exact"/>
        <w:ind w:firstLine="420" w:firstLineChars="200"/>
        <w:rPr>
          <w:rFonts w:ascii="宋体" w:hAnsi="宋体" w:cs="宋体"/>
          <w:szCs w:val="21"/>
        </w:rPr>
      </w:pPr>
      <w:r>
        <w:rPr>
          <w:rFonts w:hint="eastAsia" w:ascii="宋体" w:hAnsi="宋体" w:cs="宋体"/>
          <w:szCs w:val="21"/>
        </w:rPr>
        <w:t>2.在协议期内，乙方要按照本协议的规定，接待党政机关举办会议，并执行协议价格。</w:t>
      </w:r>
    </w:p>
    <w:p w14:paraId="6D60146B">
      <w:pPr>
        <w:spacing w:line="500" w:lineRule="exact"/>
        <w:ind w:firstLine="420" w:firstLineChars="200"/>
        <w:rPr>
          <w:rFonts w:ascii="宋体" w:hAnsi="宋体" w:cs="宋体"/>
          <w:szCs w:val="21"/>
        </w:rPr>
      </w:pPr>
      <w:r>
        <w:rPr>
          <w:rFonts w:hint="eastAsia" w:ascii="宋体" w:hAnsi="宋体" w:cs="宋体"/>
          <w:szCs w:val="21"/>
        </w:rPr>
        <w:t>协议有效期内，乙方应保持各项设备、设施完好，具备履行协议的能力；如乙方设备、设施发生足以影响接待能力的重大变化，应在变化发生后3日内书面通知甲方，甲方根据实际情况决定是否继续履行协议。</w:t>
      </w:r>
    </w:p>
    <w:p w14:paraId="370075E3">
      <w:pPr>
        <w:spacing w:line="500" w:lineRule="exact"/>
        <w:ind w:firstLine="420" w:firstLineChars="200"/>
        <w:rPr>
          <w:rFonts w:ascii="宋体" w:hAnsi="宋体" w:cs="宋体"/>
          <w:szCs w:val="21"/>
        </w:rPr>
      </w:pPr>
      <w:r>
        <w:rPr>
          <w:rFonts w:hint="eastAsia" w:ascii="宋体" w:hAnsi="宋体" w:cs="宋体"/>
          <w:szCs w:val="21"/>
        </w:rPr>
        <w:t>3.乙方的设施设备、清洁卫生、服务质量等要符合国家规定标准，不得因价格优惠而减少服务项目、降低服务质量。</w:t>
      </w:r>
    </w:p>
    <w:p w14:paraId="399DF799">
      <w:pPr>
        <w:spacing w:line="500" w:lineRule="exact"/>
        <w:ind w:firstLine="420" w:firstLineChars="200"/>
        <w:rPr>
          <w:rFonts w:ascii="宋体" w:hAnsi="宋体" w:cs="宋体"/>
          <w:szCs w:val="21"/>
        </w:rPr>
      </w:pPr>
      <w:r>
        <w:rPr>
          <w:rFonts w:hint="eastAsia" w:ascii="宋体" w:hAnsi="宋体" w:cs="宋体"/>
          <w:szCs w:val="21"/>
        </w:rPr>
        <w:t>4.乙方向单位举办会议提供如下协议价格：</w:t>
      </w:r>
    </w:p>
    <w:p w14:paraId="30022086">
      <w:pPr>
        <w:spacing w:line="500" w:lineRule="exact"/>
        <w:ind w:firstLine="420" w:firstLineChars="200"/>
        <w:rPr>
          <w:rFonts w:ascii="宋体" w:hAnsi="宋体" w:cs="宋体"/>
          <w:szCs w:val="21"/>
        </w:rPr>
      </w:pPr>
      <w:r>
        <w:rPr>
          <w:rFonts w:hint="eastAsia" w:ascii="宋体" w:hAnsi="宋体" w:cs="宋体"/>
          <w:szCs w:val="21"/>
        </w:rPr>
        <w:t>详见</w:t>
      </w:r>
      <w:r>
        <w:rPr>
          <w:rFonts w:hint="eastAsia" w:ascii="宋体" w:hAnsi="宋体" w:cs="宋体"/>
          <w:szCs w:val="21"/>
          <w:lang w:val="en-US" w:eastAsia="zh-CN"/>
        </w:rPr>
        <w:t>征集人公布的</w:t>
      </w:r>
      <w:r>
        <w:rPr>
          <w:rFonts w:hint="eastAsia" w:ascii="宋体" w:hAnsi="宋体" w:cs="宋体"/>
          <w:szCs w:val="21"/>
        </w:rPr>
        <w:t>会议定点</w:t>
      </w:r>
      <w:r>
        <w:rPr>
          <w:rFonts w:hint="eastAsia" w:ascii="宋体" w:hAnsi="宋体" w:cs="宋体"/>
          <w:szCs w:val="21"/>
          <w:lang w:val="en-US" w:eastAsia="zh-CN"/>
        </w:rPr>
        <w:t>场所</w:t>
      </w:r>
      <w:r>
        <w:rPr>
          <w:rFonts w:hint="eastAsia" w:ascii="宋体" w:hAnsi="宋体" w:cs="宋体"/>
          <w:szCs w:val="21"/>
        </w:rPr>
        <w:t>综合定额报价一览表。</w:t>
      </w:r>
    </w:p>
    <w:p w14:paraId="70CD06E7">
      <w:pPr>
        <w:spacing w:line="500" w:lineRule="exact"/>
        <w:ind w:firstLine="420" w:firstLineChars="200"/>
        <w:rPr>
          <w:rFonts w:ascii="宋体" w:hAnsi="宋体" w:cs="宋体"/>
          <w:szCs w:val="21"/>
        </w:rPr>
      </w:pPr>
      <w:r>
        <w:rPr>
          <w:rFonts w:hint="eastAsia" w:ascii="宋体" w:hAnsi="宋体" w:cs="宋体"/>
          <w:szCs w:val="21"/>
        </w:rPr>
        <w:t>乙方承诺提供的协议价格不得随市场价格波动而提高。</w:t>
      </w:r>
    </w:p>
    <w:p w14:paraId="26652F9C">
      <w:pPr>
        <w:spacing w:line="500" w:lineRule="exact"/>
        <w:ind w:firstLine="420" w:firstLineChars="200"/>
        <w:rPr>
          <w:rFonts w:ascii="宋体" w:hAnsi="宋体" w:cs="宋体"/>
          <w:szCs w:val="21"/>
        </w:rPr>
      </w:pPr>
      <w:r>
        <w:rPr>
          <w:rFonts w:hint="eastAsia" w:ascii="宋体" w:hAnsi="宋体" w:cs="宋体"/>
          <w:szCs w:val="21"/>
        </w:rPr>
        <w:t>当服务对象与乙方在价格和服务方面发生争议时，乙方有义务主动出示本协议书。</w:t>
      </w:r>
    </w:p>
    <w:p w14:paraId="002F91B7">
      <w:pPr>
        <w:spacing w:line="500" w:lineRule="exact"/>
        <w:ind w:firstLine="420" w:firstLineChars="200"/>
        <w:rPr>
          <w:rFonts w:ascii="宋体" w:hAnsi="宋体" w:cs="宋体"/>
          <w:szCs w:val="21"/>
        </w:rPr>
      </w:pPr>
      <w:r>
        <w:rPr>
          <w:rFonts w:hint="eastAsia" w:ascii="宋体" w:hAnsi="宋体" w:cs="宋体"/>
          <w:szCs w:val="21"/>
        </w:rPr>
        <w:t>5.乙方的名称（包括发票开具单位的名称）、地址、联系方式等发生变化时，要及时通知甲方，并在“党政机关会议定点场所管理系统”上做相应更改。</w:t>
      </w:r>
    </w:p>
    <w:p w14:paraId="0BEC87D2">
      <w:pPr>
        <w:spacing w:line="500" w:lineRule="exact"/>
        <w:ind w:firstLine="420" w:firstLineChars="200"/>
        <w:rPr>
          <w:rFonts w:ascii="宋体" w:hAnsi="宋体" w:cs="宋体"/>
          <w:szCs w:val="21"/>
        </w:rPr>
      </w:pPr>
      <w:r>
        <w:rPr>
          <w:rFonts w:hint="eastAsia" w:ascii="宋体" w:hAnsi="宋体" w:cs="宋体"/>
          <w:szCs w:val="21"/>
        </w:rPr>
        <w:t>6.乙方应具备上网条件，应当在结算时通过“党政机关会议定点场所管理系统”打印电子结算单，供会议举办单位报销使用。</w:t>
      </w:r>
    </w:p>
    <w:p w14:paraId="57904C69">
      <w:pPr>
        <w:spacing w:line="500" w:lineRule="exact"/>
        <w:ind w:firstLine="420" w:firstLineChars="200"/>
        <w:rPr>
          <w:rFonts w:ascii="宋体" w:hAnsi="宋体" w:cs="宋体"/>
          <w:szCs w:val="21"/>
        </w:rPr>
      </w:pPr>
      <w:r>
        <w:rPr>
          <w:rFonts w:hint="eastAsia" w:ascii="宋体" w:hAnsi="宋体" w:cs="宋体"/>
          <w:szCs w:val="21"/>
        </w:rPr>
        <w:t>7.乙方应如实开具发票，提供费用原始明细单据，供会议举办单位报销使用。</w:t>
      </w:r>
    </w:p>
    <w:p w14:paraId="30D9D0CB">
      <w:pPr>
        <w:spacing w:line="500" w:lineRule="exact"/>
        <w:ind w:firstLine="420" w:firstLineChars="200"/>
        <w:rPr>
          <w:rFonts w:ascii="宋体" w:hAnsi="宋体" w:cs="宋体"/>
          <w:szCs w:val="21"/>
        </w:rPr>
      </w:pPr>
      <w:r>
        <w:rPr>
          <w:rFonts w:hint="eastAsia" w:ascii="宋体" w:hAnsi="宋体" w:cs="宋体"/>
          <w:szCs w:val="21"/>
        </w:rPr>
        <w:t>8.乙方应具备信用卡收款条件，方便使用公务卡结算。</w:t>
      </w:r>
    </w:p>
    <w:p w14:paraId="58C272FD">
      <w:pPr>
        <w:spacing w:line="500" w:lineRule="exact"/>
        <w:ind w:firstLine="420" w:firstLineChars="200"/>
        <w:rPr>
          <w:rFonts w:ascii="宋体" w:hAnsi="宋体" w:cs="宋体"/>
          <w:szCs w:val="21"/>
        </w:rPr>
      </w:pPr>
      <w:r>
        <w:rPr>
          <w:rFonts w:hint="eastAsia" w:ascii="宋体" w:hAnsi="宋体" w:cs="宋体"/>
          <w:szCs w:val="21"/>
        </w:rPr>
        <w:t>9.乙方应于本协议签署后的7个工作日内，在“党政机关会议定点场所管理系统”上完成饭店的注册、协议价格等信息填报、饭店位置图的上传等工作，并通知甲方进行审核。</w:t>
      </w:r>
    </w:p>
    <w:p w14:paraId="1C23CC5E">
      <w:pPr>
        <w:spacing w:line="500" w:lineRule="exact"/>
        <w:ind w:firstLine="420" w:firstLineChars="200"/>
        <w:rPr>
          <w:rFonts w:ascii="宋体" w:hAnsi="宋体" w:cs="宋体"/>
          <w:szCs w:val="21"/>
        </w:rPr>
      </w:pPr>
      <w:r>
        <w:rPr>
          <w:rFonts w:hint="eastAsia" w:ascii="宋体" w:hAnsi="宋体" w:cs="宋体"/>
          <w:szCs w:val="21"/>
        </w:rPr>
        <w:t>10.乙方在党政机关会议定点场所管理系统注册的饭店名称与发票开具单位名称不一致的，应在网上注明。</w:t>
      </w:r>
    </w:p>
    <w:p w14:paraId="2439BDEE">
      <w:pPr>
        <w:spacing w:line="500" w:lineRule="exact"/>
        <w:ind w:firstLine="420" w:firstLineChars="200"/>
        <w:rPr>
          <w:rFonts w:ascii="宋体" w:hAnsi="宋体" w:cs="宋体"/>
          <w:szCs w:val="21"/>
        </w:rPr>
      </w:pPr>
      <w:r>
        <w:rPr>
          <w:rFonts w:hint="eastAsia" w:ascii="宋体" w:hAnsi="宋体" w:cs="宋体"/>
          <w:szCs w:val="21"/>
        </w:rPr>
        <w:t>11.乙方应接受甲方的监督检查，对甲方提出的意见及时进行整改。</w:t>
      </w:r>
    </w:p>
    <w:p w14:paraId="6A4E9341">
      <w:pPr>
        <w:spacing w:line="500" w:lineRule="exact"/>
        <w:ind w:firstLine="420" w:firstLineChars="200"/>
        <w:rPr>
          <w:rFonts w:ascii="宋体" w:hAnsi="宋体" w:cs="宋体"/>
          <w:szCs w:val="21"/>
        </w:rPr>
      </w:pPr>
      <w:r>
        <w:rPr>
          <w:rFonts w:hint="eastAsia" w:ascii="宋体" w:hAnsi="宋体" w:cs="宋体"/>
          <w:szCs w:val="21"/>
        </w:rPr>
        <w:t>（六）结算</w:t>
      </w:r>
    </w:p>
    <w:p w14:paraId="0F73DA28">
      <w:pPr>
        <w:spacing w:line="500" w:lineRule="exact"/>
        <w:ind w:firstLine="420" w:firstLineChars="200"/>
        <w:rPr>
          <w:rFonts w:ascii="宋体" w:hAnsi="宋体" w:cs="宋体"/>
          <w:szCs w:val="21"/>
        </w:rPr>
      </w:pPr>
      <w:r>
        <w:rPr>
          <w:rFonts w:hint="eastAsia" w:ascii="宋体" w:hAnsi="宋体" w:cs="宋体"/>
          <w:szCs w:val="21"/>
        </w:rPr>
        <w:t>会议费用由会议举办单位按照会议费管理办法规定向乙方支付，乙方应保存好所有结算单据，甲方有权根据会议费管理办法等检查结算单据。</w:t>
      </w:r>
    </w:p>
    <w:p w14:paraId="783E3DAA">
      <w:pPr>
        <w:spacing w:line="500" w:lineRule="exact"/>
        <w:ind w:firstLine="420" w:firstLineChars="200"/>
        <w:rPr>
          <w:rFonts w:hint="eastAsia" w:ascii="宋体" w:hAnsi="宋体" w:cs="宋体"/>
          <w:szCs w:val="21"/>
          <w:lang w:val="en-US" w:eastAsia="zh-CN"/>
        </w:rPr>
      </w:pPr>
      <w:r>
        <w:rPr>
          <w:rFonts w:hint="eastAsia" w:ascii="宋体" w:hAnsi="宋体" w:cs="宋体"/>
          <w:b/>
          <w:szCs w:val="21"/>
        </w:rPr>
        <w:t>四、</w:t>
      </w:r>
      <w:r>
        <w:rPr>
          <w:rFonts w:hint="eastAsia" w:ascii="宋体" w:hAnsi="宋体" w:cs="宋体"/>
          <w:b/>
          <w:szCs w:val="21"/>
          <w:lang w:val="en-US" w:eastAsia="zh-CN"/>
        </w:rPr>
        <w:t>会议定点场所有以下行为之一的，经调查属实，取消会议定点场所资格：</w:t>
      </w:r>
    </w:p>
    <w:p w14:paraId="3EDF6EFC">
      <w:pPr>
        <w:spacing w:line="50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（一）无正当理由拒绝接待党政机关会议的。</w:t>
      </w:r>
    </w:p>
    <w:p w14:paraId="3C2345E7">
      <w:pPr>
        <w:spacing w:line="50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（二）不履行采购协议义务或者履行采购协议义务不符合约定，经协商后仍不履行或者仍未按约定履行的。</w:t>
      </w:r>
    </w:p>
    <w:p w14:paraId="74C97CDD">
      <w:pPr>
        <w:spacing w:line="50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（三）超过采购协议价格收取费用或者采取减少服务项目等降低服务质量的。</w:t>
      </w:r>
    </w:p>
    <w:p w14:paraId="4A2B1417">
      <w:pPr>
        <w:spacing w:line="50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（四）提供虚假凭证或者未按规定提供发票、费用原始明细单据、电子结算单等凭证的。</w:t>
      </w:r>
    </w:p>
    <w:p w14:paraId="44C7824C">
      <w:pPr>
        <w:spacing w:line="50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（五）不配合、甚至干扰阻挠财政部门正常管理监督工作的。</w:t>
      </w:r>
    </w:p>
    <w:p w14:paraId="36F683EF">
      <w:pPr>
        <w:spacing w:line="50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（六）未经批准单方面终止履行协议的。</w:t>
      </w:r>
    </w:p>
    <w:p w14:paraId="20FA65C2">
      <w:pPr>
        <w:spacing w:line="50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（七）在采购协议期内，因违法行为被禁止或者限制参加政府采购活动的。</w:t>
      </w:r>
    </w:p>
    <w:p w14:paraId="3378C7D1">
      <w:pPr>
        <w:spacing w:line="50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（八）采购协议约定的其他情形。</w:t>
      </w:r>
    </w:p>
    <w:p w14:paraId="64E262B3">
      <w:pPr>
        <w:spacing w:line="500" w:lineRule="exact"/>
        <w:ind w:firstLine="420" w:firstLineChars="200"/>
        <w:rPr>
          <w:rFonts w:hint="default" w:ascii="宋体" w:hAnsi="宋体" w:cs="宋体"/>
          <w:szCs w:val="21"/>
          <w:lang w:val="en-US" w:eastAsia="zh-CN"/>
        </w:rPr>
      </w:pPr>
      <w:r>
        <w:rPr>
          <w:rFonts w:hint="eastAsia" w:ascii="宋体" w:hAnsi="宋体" w:cs="宋体"/>
          <w:szCs w:val="21"/>
          <w:lang w:val="en-US" w:eastAsia="zh-CN"/>
        </w:rPr>
        <w:t>采用开放式框架协议采购方式采购的，被取消资格后不得在同一框架协议期内再次加入。</w:t>
      </w:r>
    </w:p>
    <w:p w14:paraId="18515790">
      <w:pPr>
        <w:spacing w:line="500" w:lineRule="exact"/>
        <w:ind w:firstLine="420" w:firstLineChars="200"/>
        <w:rPr>
          <w:rFonts w:ascii="宋体" w:hAnsi="宋体" w:cs="宋体"/>
          <w:b/>
          <w:szCs w:val="21"/>
        </w:rPr>
      </w:pPr>
      <w:r>
        <w:rPr>
          <w:rFonts w:hint="eastAsia" w:ascii="宋体" w:hAnsi="宋体" w:cs="宋体"/>
          <w:b/>
          <w:szCs w:val="21"/>
        </w:rPr>
        <w:t>五、保密条款</w:t>
      </w:r>
    </w:p>
    <w:p w14:paraId="1BAA3DBC">
      <w:pPr>
        <w:spacing w:line="500" w:lineRule="exact"/>
        <w:ind w:firstLine="420" w:firstLineChars="200"/>
        <w:rPr>
          <w:rFonts w:ascii="宋体" w:hAnsi="宋体" w:cs="宋体"/>
          <w:szCs w:val="21"/>
        </w:rPr>
      </w:pPr>
      <w:r>
        <w:rPr>
          <w:rFonts w:hint="eastAsia" w:ascii="宋体" w:hAnsi="宋体" w:cs="宋体"/>
          <w:szCs w:val="21"/>
        </w:rPr>
        <w:t>（一）除甲乙双方共同认可的信息发布外，任何一方对其获知的本协议涉及的所有有形、无形的信息及资料（包括但不限于甲乙双方的往来书面文字文件、电子邮件等）中另一方的商业秘密或国家秘密负有保密义务。</w:t>
      </w:r>
    </w:p>
    <w:p w14:paraId="4EFEC9CB">
      <w:pPr>
        <w:spacing w:line="500" w:lineRule="exact"/>
        <w:ind w:firstLine="420" w:firstLineChars="200"/>
        <w:rPr>
          <w:rFonts w:ascii="宋体" w:hAnsi="宋体" w:cs="宋体"/>
          <w:szCs w:val="21"/>
        </w:rPr>
      </w:pPr>
      <w:r>
        <w:rPr>
          <w:rFonts w:hint="eastAsia" w:ascii="宋体" w:hAnsi="宋体" w:cs="宋体"/>
          <w:szCs w:val="21"/>
        </w:rPr>
        <w:t>（二）除非法律、法规另有规定或得到本协议之另一方的书面许可，任何一方不得向第三人泄露前款规定的商业秘密或国家秘密。保密期限自任何一方获知该商业秘密或国家秘密之日起至本条规定的秘密成为公众信息之日止。</w:t>
      </w:r>
    </w:p>
    <w:p w14:paraId="251CCF8C">
      <w:pPr>
        <w:spacing w:line="500" w:lineRule="exact"/>
        <w:ind w:firstLine="420" w:firstLineChars="200"/>
        <w:rPr>
          <w:rFonts w:ascii="宋体" w:hAnsi="宋体" w:cs="宋体"/>
          <w:szCs w:val="21"/>
        </w:rPr>
      </w:pPr>
      <w:r>
        <w:rPr>
          <w:rFonts w:hint="eastAsia" w:ascii="宋体" w:hAnsi="宋体" w:cs="宋体"/>
          <w:szCs w:val="21"/>
        </w:rPr>
        <w:t>（三）乙方不得以任何形式向第三方泄露参加会议人员的个人信息。</w:t>
      </w:r>
    </w:p>
    <w:p w14:paraId="69D40EE2">
      <w:pPr>
        <w:spacing w:line="500" w:lineRule="exact"/>
        <w:ind w:firstLine="420" w:firstLineChars="200"/>
        <w:rPr>
          <w:rFonts w:ascii="宋体" w:hAnsi="宋体" w:cs="宋体"/>
          <w:b/>
          <w:szCs w:val="21"/>
        </w:rPr>
      </w:pPr>
      <w:r>
        <w:rPr>
          <w:rFonts w:hint="eastAsia" w:ascii="宋体" w:hAnsi="宋体" w:cs="宋体"/>
          <w:b/>
          <w:szCs w:val="21"/>
        </w:rPr>
        <w:t>六、协议的终止</w:t>
      </w:r>
    </w:p>
    <w:p w14:paraId="3BE8744C">
      <w:pPr>
        <w:spacing w:line="500" w:lineRule="exact"/>
        <w:ind w:firstLine="420" w:firstLineChars="200"/>
        <w:rPr>
          <w:rFonts w:ascii="宋体" w:hAnsi="宋体" w:cs="宋体"/>
          <w:szCs w:val="21"/>
        </w:rPr>
      </w:pPr>
      <w:r>
        <w:rPr>
          <w:rFonts w:hint="eastAsia" w:ascii="宋体" w:hAnsi="宋体" w:cs="宋体"/>
          <w:szCs w:val="21"/>
        </w:rPr>
        <w:t>（一）本协议有效期为</w:t>
      </w:r>
      <w:r>
        <w:rPr>
          <w:rFonts w:hint="eastAsia" w:ascii="宋体" w:hAnsi="宋体" w:cs="宋体"/>
          <w:szCs w:val="21"/>
          <w:lang w:val="en-US" w:eastAsia="zh-CN"/>
        </w:rPr>
        <w:t>自</w:t>
      </w:r>
      <w:r>
        <w:rPr>
          <w:rFonts w:hint="eastAsia" w:ascii="宋体" w:hAnsi="宋体" w:eastAsia="宋体" w:cs="宋体"/>
          <w:szCs w:val="21"/>
          <w:u w:val="single"/>
          <w:lang w:val="en-US" w:eastAsia="zh-CN"/>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日</w:t>
      </w:r>
      <w:r>
        <w:rPr>
          <w:rFonts w:hint="eastAsia"/>
          <w:lang w:val="en-US" w:eastAsia="zh-CN"/>
        </w:rPr>
        <w:t>起</w:t>
      </w:r>
      <w:r>
        <w:rPr>
          <w:rFonts w:hint="eastAsia" w:ascii="宋体" w:hAnsi="宋体" w:cs="宋体"/>
          <w:szCs w:val="21"/>
        </w:rPr>
        <w:t>至</w:t>
      </w:r>
      <w:r>
        <w:rPr>
          <w:rFonts w:hint="eastAsia" w:ascii="宋体" w:hAnsi="宋体" w:eastAsia="宋体" w:cs="宋体"/>
          <w:szCs w:val="21"/>
          <w:u w:val="single"/>
          <w:lang w:val="en-US" w:eastAsia="zh-CN"/>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日。协议期内任何一方不得擅自终止协议，否则应承担所造成的一切损失。如一方因已方缘故需终止协议，必须提前3个月书面通知另一方，经双方达成一致意见后，方可终止。</w:t>
      </w:r>
    </w:p>
    <w:p w14:paraId="2C3BB803">
      <w:pPr>
        <w:spacing w:line="500" w:lineRule="exact"/>
        <w:ind w:firstLine="420" w:firstLineChars="200"/>
        <w:rPr>
          <w:rFonts w:ascii="宋体" w:hAnsi="宋体" w:cs="宋体"/>
          <w:szCs w:val="21"/>
        </w:rPr>
      </w:pPr>
      <w:r>
        <w:rPr>
          <w:rFonts w:hint="eastAsia" w:ascii="宋体" w:hAnsi="宋体" w:cs="宋体"/>
          <w:szCs w:val="21"/>
        </w:rPr>
        <w:t>（二）出现下列情况时本协议自行终止：</w:t>
      </w:r>
    </w:p>
    <w:p w14:paraId="39150593">
      <w:pPr>
        <w:spacing w:line="500" w:lineRule="exact"/>
        <w:ind w:firstLine="420" w:firstLineChars="200"/>
        <w:rPr>
          <w:rFonts w:ascii="宋体" w:hAnsi="宋体" w:cs="宋体"/>
          <w:szCs w:val="21"/>
        </w:rPr>
      </w:pPr>
      <w:r>
        <w:rPr>
          <w:rFonts w:hint="eastAsia" w:ascii="宋体" w:hAnsi="宋体" w:cs="宋体"/>
          <w:szCs w:val="21"/>
        </w:rPr>
        <w:t>1.本协议正常履行完毕：</w:t>
      </w:r>
    </w:p>
    <w:p w14:paraId="05BD68B7">
      <w:pPr>
        <w:spacing w:line="500" w:lineRule="exact"/>
        <w:ind w:firstLine="420" w:firstLineChars="200"/>
        <w:rPr>
          <w:rFonts w:ascii="宋体" w:hAnsi="宋体" w:cs="宋体"/>
          <w:szCs w:val="21"/>
        </w:rPr>
      </w:pPr>
      <w:r>
        <w:rPr>
          <w:rFonts w:hint="eastAsia" w:ascii="宋体" w:hAnsi="宋体" w:cs="宋体"/>
          <w:szCs w:val="21"/>
        </w:rPr>
        <w:t>2.甲乙双方协议终止本协议的履行；</w:t>
      </w:r>
    </w:p>
    <w:p w14:paraId="17278A13">
      <w:pPr>
        <w:spacing w:line="500" w:lineRule="exact"/>
        <w:ind w:firstLine="420" w:firstLineChars="200"/>
        <w:rPr>
          <w:rFonts w:ascii="宋体" w:hAnsi="宋体" w:cs="宋体"/>
          <w:szCs w:val="21"/>
        </w:rPr>
      </w:pPr>
      <w:r>
        <w:rPr>
          <w:rFonts w:hint="eastAsia" w:ascii="宋体" w:hAnsi="宋体" w:cs="宋体"/>
          <w:szCs w:val="21"/>
        </w:rPr>
        <w:t>3.不可抗力导致本协议无法履行或履行不必要时。</w:t>
      </w:r>
    </w:p>
    <w:p w14:paraId="4382A116">
      <w:pPr>
        <w:spacing w:line="500" w:lineRule="exact"/>
        <w:ind w:firstLine="420" w:firstLineChars="200"/>
        <w:rPr>
          <w:rFonts w:ascii="宋体" w:hAnsi="宋体" w:cs="宋体"/>
          <w:szCs w:val="21"/>
        </w:rPr>
      </w:pPr>
      <w:r>
        <w:rPr>
          <w:rFonts w:hint="eastAsia" w:ascii="宋体" w:hAnsi="宋体" w:cs="宋体"/>
          <w:szCs w:val="21"/>
        </w:rPr>
        <w:t>（三）除本协议另有约定外，发生任何以下一种情况，甲方有权解除本协议，对于由此给乙方造成的损失甲方不承担赔偿责任，对于由此给甲方造成的损失，乙方应负赔偿责任：</w:t>
      </w:r>
    </w:p>
    <w:p w14:paraId="228A4A1E">
      <w:pPr>
        <w:spacing w:line="500" w:lineRule="exact"/>
        <w:ind w:firstLine="420" w:firstLineChars="200"/>
        <w:rPr>
          <w:rFonts w:ascii="宋体" w:hAnsi="宋体" w:cs="宋体"/>
          <w:szCs w:val="21"/>
        </w:rPr>
      </w:pPr>
      <w:r>
        <w:rPr>
          <w:rFonts w:hint="eastAsia" w:ascii="宋体" w:hAnsi="宋体" w:cs="宋体"/>
          <w:szCs w:val="21"/>
        </w:rPr>
        <w:t>1.乙方设备设施发生重大变化，不满足</w:t>
      </w:r>
      <w:r>
        <w:rPr>
          <w:rFonts w:hint="eastAsia" w:ascii="宋体" w:hAnsi="宋体" w:eastAsia="宋体" w:cs="宋体"/>
          <w:szCs w:val="21"/>
          <w:lang w:val="en-US" w:eastAsia="zh-CN"/>
        </w:rPr>
        <w:t>征集</w:t>
      </w:r>
      <w:r>
        <w:rPr>
          <w:rFonts w:hint="eastAsia" w:ascii="宋体" w:hAnsi="宋体" w:cs="宋体"/>
          <w:szCs w:val="21"/>
        </w:rPr>
        <w:t>文件提出的要求或者不具备接待能力的；</w:t>
      </w:r>
    </w:p>
    <w:p w14:paraId="4A5C9DF8">
      <w:pPr>
        <w:spacing w:line="500" w:lineRule="exact"/>
        <w:ind w:firstLine="420" w:firstLineChars="200"/>
        <w:rPr>
          <w:rFonts w:ascii="宋体" w:hAnsi="宋体" w:cs="宋体"/>
          <w:szCs w:val="21"/>
        </w:rPr>
      </w:pPr>
      <w:r>
        <w:rPr>
          <w:rFonts w:hint="eastAsia" w:ascii="宋体" w:hAnsi="宋体" w:cs="宋体"/>
          <w:szCs w:val="21"/>
        </w:rPr>
        <w:t>2.乙方出现组织卖淫嫖娼、赌博、贩卖毒品、危害国家安全等违法行为的。</w:t>
      </w:r>
    </w:p>
    <w:p w14:paraId="3738FC66">
      <w:pPr>
        <w:spacing w:line="500" w:lineRule="exact"/>
        <w:ind w:firstLine="420" w:firstLineChars="200"/>
        <w:rPr>
          <w:rFonts w:ascii="宋体" w:hAnsi="宋体" w:cs="宋体"/>
          <w:b/>
          <w:szCs w:val="21"/>
        </w:rPr>
      </w:pPr>
      <w:r>
        <w:rPr>
          <w:rFonts w:hint="eastAsia" w:ascii="宋体" w:hAnsi="宋体" w:cs="宋体"/>
          <w:b/>
          <w:szCs w:val="21"/>
        </w:rPr>
        <w:t>七、附加条款</w:t>
      </w:r>
    </w:p>
    <w:p w14:paraId="73F46CF8">
      <w:pPr>
        <w:spacing w:line="500" w:lineRule="exact"/>
        <w:ind w:firstLine="420" w:firstLineChars="200"/>
        <w:rPr>
          <w:rFonts w:ascii="宋体" w:hAnsi="宋体" w:cs="宋体"/>
          <w:szCs w:val="21"/>
        </w:rPr>
      </w:pPr>
      <w:r>
        <w:rPr>
          <w:rFonts w:hint="eastAsia" w:ascii="宋体" w:hAnsi="宋体" w:cs="宋体"/>
          <w:szCs w:val="21"/>
        </w:rPr>
        <w:t>本协议签署后，由于乙方没有及时在“党政机关会议定点场所管理系统”上注册、发布相关信息，无法取得各级党政机关认可，所造成的损失由乙方负责。</w:t>
      </w:r>
    </w:p>
    <w:p w14:paraId="34F41045">
      <w:pPr>
        <w:spacing w:line="500" w:lineRule="exact"/>
        <w:ind w:firstLine="420" w:firstLineChars="200"/>
        <w:rPr>
          <w:rFonts w:ascii="宋体" w:hAnsi="宋体" w:cs="宋体"/>
          <w:b/>
          <w:szCs w:val="21"/>
        </w:rPr>
      </w:pPr>
      <w:r>
        <w:rPr>
          <w:rFonts w:hint="eastAsia" w:ascii="宋体" w:hAnsi="宋体" w:cs="宋体"/>
          <w:b/>
          <w:szCs w:val="21"/>
        </w:rPr>
        <w:t>八、协议生效</w:t>
      </w:r>
    </w:p>
    <w:p w14:paraId="5822C54D">
      <w:pPr>
        <w:spacing w:line="500" w:lineRule="exact"/>
        <w:ind w:firstLine="420" w:firstLineChars="200"/>
        <w:rPr>
          <w:rFonts w:hint="eastAsia" w:ascii="宋体" w:hAnsi="宋体" w:eastAsia="宋体" w:cs="宋体"/>
          <w:szCs w:val="21"/>
          <w:lang w:eastAsia="zh-CN"/>
        </w:rPr>
      </w:pPr>
      <w:r>
        <w:rPr>
          <w:rFonts w:hint="eastAsia" w:ascii="宋体" w:hAnsi="宋体" w:cs="宋体"/>
          <w:szCs w:val="21"/>
        </w:rPr>
        <w:t>本协议有效期</w:t>
      </w:r>
      <w:r>
        <w:rPr>
          <w:rFonts w:hint="eastAsia" w:ascii="宋体" w:hAnsi="宋体" w:cs="宋体"/>
          <w:szCs w:val="21"/>
          <w:lang w:val="en-US" w:eastAsia="zh-CN"/>
        </w:rPr>
        <w:t>为自</w:t>
      </w:r>
      <w:r>
        <w:rPr>
          <w:rFonts w:hint="eastAsia"/>
          <w:lang w:val="en-US" w:eastAsia="zh-CN"/>
        </w:rPr>
        <w:t>本项目入围结果公告发布之日起</w:t>
      </w:r>
      <w:r>
        <w:rPr>
          <w:rFonts w:hint="eastAsia" w:ascii="宋体" w:hAnsi="宋体" w:cs="宋体"/>
          <w:szCs w:val="21"/>
        </w:rPr>
        <w:t>至</w:t>
      </w:r>
      <w:r>
        <w:rPr>
          <w:rFonts w:hint="eastAsia" w:ascii="宋体" w:hAnsi="宋体" w:eastAsia="宋体" w:cs="宋体"/>
          <w:szCs w:val="21"/>
          <w:u w:val="single"/>
          <w:lang w:val="en-US" w:eastAsia="zh-CN"/>
        </w:rPr>
        <w:t xml:space="preserve">     </w:t>
      </w:r>
      <w:r>
        <w:rPr>
          <w:rFonts w:hint="eastAsia" w:ascii="宋体" w:hAnsi="宋体" w:cs="宋体"/>
          <w:szCs w:val="21"/>
        </w:rPr>
        <w:t>年</w:t>
      </w:r>
      <w:r>
        <w:rPr>
          <w:rFonts w:hint="eastAsia" w:ascii="宋体" w:hAnsi="宋体" w:cs="宋体"/>
          <w:szCs w:val="21"/>
          <w:u w:val="single"/>
          <w:lang w:val="en-US" w:eastAsia="zh-CN"/>
        </w:rPr>
        <w:t xml:space="preserve">     </w:t>
      </w:r>
      <w:r>
        <w:rPr>
          <w:rFonts w:hint="eastAsia" w:ascii="宋体" w:hAnsi="宋体" w:cs="宋体"/>
          <w:szCs w:val="21"/>
        </w:rPr>
        <w:t>月</w:t>
      </w:r>
      <w:r>
        <w:rPr>
          <w:rFonts w:hint="eastAsia" w:ascii="宋体" w:hAnsi="宋体" w:cs="宋体"/>
          <w:szCs w:val="21"/>
          <w:u w:val="single"/>
          <w:lang w:val="en-US" w:eastAsia="zh-CN"/>
        </w:rPr>
        <w:t xml:space="preserve">      </w:t>
      </w:r>
      <w:r>
        <w:rPr>
          <w:rFonts w:hint="eastAsia" w:ascii="宋体" w:hAnsi="宋体" w:cs="宋体"/>
          <w:szCs w:val="21"/>
        </w:rPr>
        <w:t>日</w:t>
      </w:r>
      <w:r>
        <w:rPr>
          <w:rFonts w:hint="eastAsia" w:ascii="宋体" w:hAnsi="宋体" w:cs="宋体"/>
          <w:szCs w:val="21"/>
          <w:lang w:eastAsia="zh-CN"/>
        </w:rPr>
        <w:t>。</w:t>
      </w:r>
    </w:p>
    <w:p w14:paraId="04C06E15">
      <w:pPr>
        <w:rPr>
          <w:rFonts w:hint="eastAsia"/>
          <w:lang w:val="en-US" w:eastAsia="zh-Hans"/>
        </w:rPr>
      </w:pPr>
    </w:p>
    <w:p w14:paraId="2C864B98">
      <w:pPr>
        <w:spacing w:line="500" w:lineRule="exact"/>
        <w:ind w:firstLine="420" w:firstLineChars="200"/>
        <w:rPr>
          <w:rFonts w:hint="default" w:ascii="宋体" w:hAnsi="宋体" w:cs="宋体"/>
          <w:b/>
          <w:szCs w:val="21"/>
          <w:lang w:val="en-US" w:eastAsia="zh-CN"/>
        </w:rPr>
      </w:pPr>
      <w:r>
        <w:rPr>
          <w:rFonts w:hint="eastAsia" w:ascii="宋体" w:hAnsi="宋体" w:cs="宋体"/>
          <w:b/>
          <w:szCs w:val="21"/>
          <w:lang w:val="en-US" w:eastAsia="zh-CN"/>
        </w:rPr>
        <w:t>采购合同模板由采购人与入围供应商自拟。</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icrosoft JhengHei">
    <w:panose1 w:val="020B0604030504040204"/>
    <w:charset w:val="88"/>
    <w:family w:val="auto"/>
    <w:pitch w:val="default"/>
    <w:sig w:usb0="000002A7" w:usb1="28CF4400" w:usb2="00000016" w:usb3="00000000" w:csb0="00100009" w:csb1="00000000"/>
  </w:font>
  <w:font w:name="Lucida Sans Unicode">
    <w:panose1 w:val="020B0602030504020204"/>
    <w:charset w:val="00"/>
    <w:family w:val="auto"/>
    <w:pitch w:val="default"/>
    <w:sig w:usb0="80001AFF" w:usb1="0000396B" w:usb2="00000000" w:usb3="00000000" w:csb0="200000BF" w:csb1="D7F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EF54E4">
    <w:pPr>
      <w:spacing w:line="173" w:lineRule="auto"/>
      <w:rPr>
        <w:rFonts w:ascii="Lucida Sans Unicode" w:hAnsi="Lucida Sans Unicode" w:eastAsia="Lucida Sans Unicode" w:cs="Lucida Sans Unicode"/>
        <w:sz w:val="24"/>
        <w:szCs w:val="24"/>
      </w:rPr>
    </w:pPr>
  </w:p>
  <w:p w14:paraId="6BC9BC2C">
    <w:pPr>
      <w:spacing w:line="173" w:lineRule="auto"/>
      <w:rPr>
        <w:rFonts w:ascii="Lucida Sans Unicode" w:hAnsi="Lucida Sans Unicode" w:eastAsia="Lucida Sans Unicode" w:cs="Lucida Sans Unicode"/>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B0FD09">
    <w:pPr>
      <w:spacing w:line="173" w:lineRule="auto"/>
      <w:rPr>
        <w:rFonts w:ascii="Lucida Sans Unicode" w:hAnsi="Lucida Sans Unicode" w:eastAsia="Lucida Sans Unicode" w:cs="Lucida Sans Unicode"/>
        <w:sz w:val="24"/>
        <w:szCs w:val="24"/>
      </w:rPr>
    </w:pPr>
  </w:p>
  <w:p w14:paraId="60B14525">
    <w:pPr>
      <w:spacing w:line="173" w:lineRule="auto"/>
      <w:rPr>
        <w:rFonts w:ascii="Lucida Sans Unicode" w:hAnsi="Lucida Sans Unicode" w:eastAsia="Lucida Sans Unicode" w:cs="Lucida Sans Unicode"/>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3ZmFjZDYyNjk1NTc0YTczNmEwM2I0Y2IzNDhjMWMifQ=="/>
  </w:docVars>
  <w:rsids>
    <w:rsidRoot w:val="53B52B8D"/>
    <w:rsid w:val="004D4054"/>
    <w:rsid w:val="006A093E"/>
    <w:rsid w:val="00770051"/>
    <w:rsid w:val="007756C4"/>
    <w:rsid w:val="00997D30"/>
    <w:rsid w:val="009C512B"/>
    <w:rsid w:val="009F37E3"/>
    <w:rsid w:val="00BC07C4"/>
    <w:rsid w:val="00FE7B94"/>
    <w:rsid w:val="012610EC"/>
    <w:rsid w:val="01395B91"/>
    <w:rsid w:val="019A10AD"/>
    <w:rsid w:val="01E70628"/>
    <w:rsid w:val="022278B2"/>
    <w:rsid w:val="022C641E"/>
    <w:rsid w:val="02510BDC"/>
    <w:rsid w:val="02513EEE"/>
    <w:rsid w:val="025D4496"/>
    <w:rsid w:val="025F5973"/>
    <w:rsid w:val="02781BC8"/>
    <w:rsid w:val="0287405F"/>
    <w:rsid w:val="02C22194"/>
    <w:rsid w:val="02C46BBB"/>
    <w:rsid w:val="02EA0343"/>
    <w:rsid w:val="02F474A0"/>
    <w:rsid w:val="02F516EA"/>
    <w:rsid w:val="030969A4"/>
    <w:rsid w:val="0328539C"/>
    <w:rsid w:val="032A1534"/>
    <w:rsid w:val="0341441D"/>
    <w:rsid w:val="034877EC"/>
    <w:rsid w:val="03977E2B"/>
    <w:rsid w:val="03E101A1"/>
    <w:rsid w:val="03EC14FA"/>
    <w:rsid w:val="03EE2141"/>
    <w:rsid w:val="03EF27C8"/>
    <w:rsid w:val="04020397"/>
    <w:rsid w:val="04041965"/>
    <w:rsid w:val="04114082"/>
    <w:rsid w:val="04433FC6"/>
    <w:rsid w:val="044B5AAE"/>
    <w:rsid w:val="045B44B4"/>
    <w:rsid w:val="048E1E25"/>
    <w:rsid w:val="04BC20E2"/>
    <w:rsid w:val="04C13E58"/>
    <w:rsid w:val="04DF6C8C"/>
    <w:rsid w:val="04E92909"/>
    <w:rsid w:val="04F55751"/>
    <w:rsid w:val="04FD0162"/>
    <w:rsid w:val="05047743"/>
    <w:rsid w:val="050851C0"/>
    <w:rsid w:val="05087233"/>
    <w:rsid w:val="055E32F7"/>
    <w:rsid w:val="05685F23"/>
    <w:rsid w:val="056D353A"/>
    <w:rsid w:val="05706B86"/>
    <w:rsid w:val="05753529"/>
    <w:rsid w:val="057C377D"/>
    <w:rsid w:val="057E3312"/>
    <w:rsid w:val="05BA1E72"/>
    <w:rsid w:val="05D15877"/>
    <w:rsid w:val="05F11A75"/>
    <w:rsid w:val="06252515"/>
    <w:rsid w:val="064A58D9"/>
    <w:rsid w:val="06654509"/>
    <w:rsid w:val="067A5A37"/>
    <w:rsid w:val="06824DC3"/>
    <w:rsid w:val="068533EF"/>
    <w:rsid w:val="06AB256C"/>
    <w:rsid w:val="06BC6527"/>
    <w:rsid w:val="06D92EB4"/>
    <w:rsid w:val="06E65352"/>
    <w:rsid w:val="06ED3A80"/>
    <w:rsid w:val="06ED60F1"/>
    <w:rsid w:val="07864169"/>
    <w:rsid w:val="07C84A57"/>
    <w:rsid w:val="081710BE"/>
    <w:rsid w:val="08246A68"/>
    <w:rsid w:val="08470072"/>
    <w:rsid w:val="085D5AE7"/>
    <w:rsid w:val="086D1515"/>
    <w:rsid w:val="0889420E"/>
    <w:rsid w:val="088B2F95"/>
    <w:rsid w:val="08B84ACC"/>
    <w:rsid w:val="08EB1DAD"/>
    <w:rsid w:val="08FC1E25"/>
    <w:rsid w:val="0923288D"/>
    <w:rsid w:val="092959CA"/>
    <w:rsid w:val="092C1016"/>
    <w:rsid w:val="095A3023"/>
    <w:rsid w:val="0960344D"/>
    <w:rsid w:val="09796D3E"/>
    <w:rsid w:val="098826F0"/>
    <w:rsid w:val="09A53B82"/>
    <w:rsid w:val="09D90C3C"/>
    <w:rsid w:val="09D9119E"/>
    <w:rsid w:val="09E17C19"/>
    <w:rsid w:val="0A633E56"/>
    <w:rsid w:val="0A691512"/>
    <w:rsid w:val="0A735F3E"/>
    <w:rsid w:val="0A770817"/>
    <w:rsid w:val="0AB063A2"/>
    <w:rsid w:val="0AD11E75"/>
    <w:rsid w:val="0AEB2487"/>
    <w:rsid w:val="0B245BA9"/>
    <w:rsid w:val="0B331352"/>
    <w:rsid w:val="0B686836"/>
    <w:rsid w:val="0B850EDD"/>
    <w:rsid w:val="0B9F1F73"/>
    <w:rsid w:val="0BC419DA"/>
    <w:rsid w:val="0BCA286C"/>
    <w:rsid w:val="0BD04822"/>
    <w:rsid w:val="0BED0A49"/>
    <w:rsid w:val="0C122745"/>
    <w:rsid w:val="0C183166"/>
    <w:rsid w:val="0C1B5A9E"/>
    <w:rsid w:val="0C6557E4"/>
    <w:rsid w:val="0C674136"/>
    <w:rsid w:val="0C832815"/>
    <w:rsid w:val="0C8A3082"/>
    <w:rsid w:val="0C994C14"/>
    <w:rsid w:val="0CBA24AA"/>
    <w:rsid w:val="0CBF1375"/>
    <w:rsid w:val="0CC8548E"/>
    <w:rsid w:val="0CCC6D98"/>
    <w:rsid w:val="0CD914B5"/>
    <w:rsid w:val="0CE03143"/>
    <w:rsid w:val="0CE827FC"/>
    <w:rsid w:val="0CEA5470"/>
    <w:rsid w:val="0CF06F2A"/>
    <w:rsid w:val="0CF32576"/>
    <w:rsid w:val="0CFB142B"/>
    <w:rsid w:val="0D55235B"/>
    <w:rsid w:val="0D72469C"/>
    <w:rsid w:val="0D7B2BD9"/>
    <w:rsid w:val="0D7C7057"/>
    <w:rsid w:val="0DA251EB"/>
    <w:rsid w:val="0DA6583B"/>
    <w:rsid w:val="0DAC4BAD"/>
    <w:rsid w:val="0DB32F07"/>
    <w:rsid w:val="0DC44067"/>
    <w:rsid w:val="0DC777E8"/>
    <w:rsid w:val="0DEB68E4"/>
    <w:rsid w:val="0DFD5ABA"/>
    <w:rsid w:val="0E060087"/>
    <w:rsid w:val="0E150ED9"/>
    <w:rsid w:val="0E2F5830"/>
    <w:rsid w:val="0E95626D"/>
    <w:rsid w:val="0EA10731"/>
    <w:rsid w:val="0ED56B7F"/>
    <w:rsid w:val="0EDC3A39"/>
    <w:rsid w:val="0F0B0F3A"/>
    <w:rsid w:val="0F1D19CC"/>
    <w:rsid w:val="0F20565C"/>
    <w:rsid w:val="0F882908"/>
    <w:rsid w:val="0FA525EF"/>
    <w:rsid w:val="0FD53E86"/>
    <w:rsid w:val="0FDB5D8F"/>
    <w:rsid w:val="0FF00FEF"/>
    <w:rsid w:val="0FF90BC3"/>
    <w:rsid w:val="100A7FDF"/>
    <w:rsid w:val="105C48D7"/>
    <w:rsid w:val="108D4A90"/>
    <w:rsid w:val="10BC7123"/>
    <w:rsid w:val="10CD7582"/>
    <w:rsid w:val="10E365C2"/>
    <w:rsid w:val="10E43B39"/>
    <w:rsid w:val="11080D80"/>
    <w:rsid w:val="11090B41"/>
    <w:rsid w:val="11211225"/>
    <w:rsid w:val="11254AAD"/>
    <w:rsid w:val="1140695B"/>
    <w:rsid w:val="11421D1E"/>
    <w:rsid w:val="11566AC8"/>
    <w:rsid w:val="11941546"/>
    <w:rsid w:val="11992756"/>
    <w:rsid w:val="119D70C3"/>
    <w:rsid w:val="11A025A1"/>
    <w:rsid w:val="11CF6EA6"/>
    <w:rsid w:val="11D87F8D"/>
    <w:rsid w:val="11E95D4A"/>
    <w:rsid w:val="121216F1"/>
    <w:rsid w:val="12205FC9"/>
    <w:rsid w:val="122B2D4E"/>
    <w:rsid w:val="12486EC1"/>
    <w:rsid w:val="1265156A"/>
    <w:rsid w:val="126637EB"/>
    <w:rsid w:val="128F7E55"/>
    <w:rsid w:val="12912E05"/>
    <w:rsid w:val="12B11796"/>
    <w:rsid w:val="12B878BF"/>
    <w:rsid w:val="12FD414F"/>
    <w:rsid w:val="1309679C"/>
    <w:rsid w:val="132A2BDA"/>
    <w:rsid w:val="139222C3"/>
    <w:rsid w:val="13AC16D1"/>
    <w:rsid w:val="13B171F7"/>
    <w:rsid w:val="13D21C0B"/>
    <w:rsid w:val="13D75179"/>
    <w:rsid w:val="13DB5B12"/>
    <w:rsid w:val="13EC4FCF"/>
    <w:rsid w:val="14013F61"/>
    <w:rsid w:val="14180B15"/>
    <w:rsid w:val="1428639F"/>
    <w:rsid w:val="148D32B1"/>
    <w:rsid w:val="149469BA"/>
    <w:rsid w:val="14A84E9A"/>
    <w:rsid w:val="14B0574D"/>
    <w:rsid w:val="14BF409E"/>
    <w:rsid w:val="14D42C8D"/>
    <w:rsid w:val="1508518C"/>
    <w:rsid w:val="153E0A4F"/>
    <w:rsid w:val="15566E54"/>
    <w:rsid w:val="15910B7E"/>
    <w:rsid w:val="15B2200B"/>
    <w:rsid w:val="15E91D9A"/>
    <w:rsid w:val="15EC04AB"/>
    <w:rsid w:val="16273291"/>
    <w:rsid w:val="16B5780F"/>
    <w:rsid w:val="16BF796D"/>
    <w:rsid w:val="16C44F84"/>
    <w:rsid w:val="16CA259A"/>
    <w:rsid w:val="16F43A73"/>
    <w:rsid w:val="16FE2244"/>
    <w:rsid w:val="17286D0C"/>
    <w:rsid w:val="17487240"/>
    <w:rsid w:val="177F50ED"/>
    <w:rsid w:val="179B3F36"/>
    <w:rsid w:val="17A032FB"/>
    <w:rsid w:val="18134878"/>
    <w:rsid w:val="183B138A"/>
    <w:rsid w:val="18437C28"/>
    <w:rsid w:val="187049F3"/>
    <w:rsid w:val="18EA6F23"/>
    <w:rsid w:val="18F451A2"/>
    <w:rsid w:val="18F64A8A"/>
    <w:rsid w:val="190B692E"/>
    <w:rsid w:val="193F6A8C"/>
    <w:rsid w:val="19B80DD0"/>
    <w:rsid w:val="19C239FC"/>
    <w:rsid w:val="1A037B71"/>
    <w:rsid w:val="1A237F08"/>
    <w:rsid w:val="1A304E0A"/>
    <w:rsid w:val="1A332204"/>
    <w:rsid w:val="1A5D54D3"/>
    <w:rsid w:val="1A8B2E61"/>
    <w:rsid w:val="1AD003D6"/>
    <w:rsid w:val="1AD11A1D"/>
    <w:rsid w:val="1AD50A96"/>
    <w:rsid w:val="1B034A5E"/>
    <w:rsid w:val="1B063DBD"/>
    <w:rsid w:val="1B116A7D"/>
    <w:rsid w:val="1B1F09DB"/>
    <w:rsid w:val="1B2C7D7E"/>
    <w:rsid w:val="1B2E2262"/>
    <w:rsid w:val="1B46204F"/>
    <w:rsid w:val="1B4F7512"/>
    <w:rsid w:val="1B5A7C65"/>
    <w:rsid w:val="1B610405"/>
    <w:rsid w:val="1B6C6D06"/>
    <w:rsid w:val="1B724496"/>
    <w:rsid w:val="1BA809D0"/>
    <w:rsid w:val="1BAD4238"/>
    <w:rsid w:val="1BBB4257"/>
    <w:rsid w:val="1BCC2910"/>
    <w:rsid w:val="1BF14125"/>
    <w:rsid w:val="1BF47641"/>
    <w:rsid w:val="1C024584"/>
    <w:rsid w:val="1C07267B"/>
    <w:rsid w:val="1C1D682F"/>
    <w:rsid w:val="1C493F61"/>
    <w:rsid w:val="1C546037"/>
    <w:rsid w:val="1C570D9F"/>
    <w:rsid w:val="1C901B90"/>
    <w:rsid w:val="1C915908"/>
    <w:rsid w:val="1CED18DB"/>
    <w:rsid w:val="1D1C78C7"/>
    <w:rsid w:val="1D3E783E"/>
    <w:rsid w:val="1D552DD9"/>
    <w:rsid w:val="1D5F0140"/>
    <w:rsid w:val="1D8316F5"/>
    <w:rsid w:val="1D854AFC"/>
    <w:rsid w:val="1D962818"/>
    <w:rsid w:val="1DAB4918"/>
    <w:rsid w:val="1DC1221D"/>
    <w:rsid w:val="1DD43CFE"/>
    <w:rsid w:val="1E104084"/>
    <w:rsid w:val="1E1F2075"/>
    <w:rsid w:val="1E3166DF"/>
    <w:rsid w:val="1E5545D1"/>
    <w:rsid w:val="1E5C4104"/>
    <w:rsid w:val="1E993340"/>
    <w:rsid w:val="1EA05AFE"/>
    <w:rsid w:val="1EC7640D"/>
    <w:rsid w:val="1ECE1B76"/>
    <w:rsid w:val="1EDF295B"/>
    <w:rsid w:val="1EE07337"/>
    <w:rsid w:val="1F0C7DFB"/>
    <w:rsid w:val="1F4D3D68"/>
    <w:rsid w:val="1F872D61"/>
    <w:rsid w:val="1FB03C16"/>
    <w:rsid w:val="1FB57B5F"/>
    <w:rsid w:val="1FC41970"/>
    <w:rsid w:val="1FE8673D"/>
    <w:rsid w:val="20030393"/>
    <w:rsid w:val="205253AE"/>
    <w:rsid w:val="20731CCC"/>
    <w:rsid w:val="2092414C"/>
    <w:rsid w:val="20E34258"/>
    <w:rsid w:val="21042F76"/>
    <w:rsid w:val="210B3144"/>
    <w:rsid w:val="2110504E"/>
    <w:rsid w:val="211D776A"/>
    <w:rsid w:val="21592EC3"/>
    <w:rsid w:val="216B497A"/>
    <w:rsid w:val="217E7F29"/>
    <w:rsid w:val="218A1D87"/>
    <w:rsid w:val="21920158"/>
    <w:rsid w:val="21986266"/>
    <w:rsid w:val="21DA3D11"/>
    <w:rsid w:val="22010912"/>
    <w:rsid w:val="22623FCE"/>
    <w:rsid w:val="22743D02"/>
    <w:rsid w:val="2277734E"/>
    <w:rsid w:val="228D1088"/>
    <w:rsid w:val="22A3009B"/>
    <w:rsid w:val="22AD31A5"/>
    <w:rsid w:val="22B1460E"/>
    <w:rsid w:val="22E713D0"/>
    <w:rsid w:val="22EC5858"/>
    <w:rsid w:val="23001DC1"/>
    <w:rsid w:val="2305495A"/>
    <w:rsid w:val="23356FED"/>
    <w:rsid w:val="235A0180"/>
    <w:rsid w:val="23AF2548"/>
    <w:rsid w:val="23DB5180"/>
    <w:rsid w:val="24015121"/>
    <w:rsid w:val="24390D5F"/>
    <w:rsid w:val="24561911"/>
    <w:rsid w:val="246031BB"/>
    <w:rsid w:val="24780656"/>
    <w:rsid w:val="249E0C01"/>
    <w:rsid w:val="24BC5AD3"/>
    <w:rsid w:val="24DF4D8F"/>
    <w:rsid w:val="24EB0060"/>
    <w:rsid w:val="24F43A2F"/>
    <w:rsid w:val="254F5042"/>
    <w:rsid w:val="25513E86"/>
    <w:rsid w:val="25552B21"/>
    <w:rsid w:val="25565CCE"/>
    <w:rsid w:val="2560231B"/>
    <w:rsid w:val="258935FD"/>
    <w:rsid w:val="25983863"/>
    <w:rsid w:val="25AA1ED9"/>
    <w:rsid w:val="25AC31DE"/>
    <w:rsid w:val="25AE08DF"/>
    <w:rsid w:val="25B83F05"/>
    <w:rsid w:val="25C56306"/>
    <w:rsid w:val="25E54AD8"/>
    <w:rsid w:val="25F74A2E"/>
    <w:rsid w:val="260E417C"/>
    <w:rsid w:val="2624609B"/>
    <w:rsid w:val="266B4515"/>
    <w:rsid w:val="26725B01"/>
    <w:rsid w:val="2677273A"/>
    <w:rsid w:val="26797B39"/>
    <w:rsid w:val="2682413A"/>
    <w:rsid w:val="268279BE"/>
    <w:rsid w:val="269404CF"/>
    <w:rsid w:val="26A75F51"/>
    <w:rsid w:val="272F0FE5"/>
    <w:rsid w:val="27447A7C"/>
    <w:rsid w:val="2751016E"/>
    <w:rsid w:val="27932534"/>
    <w:rsid w:val="27AE5E26"/>
    <w:rsid w:val="27C923FA"/>
    <w:rsid w:val="27D07660"/>
    <w:rsid w:val="27DC1782"/>
    <w:rsid w:val="27F966F1"/>
    <w:rsid w:val="281523B6"/>
    <w:rsid w:val="281E51E0"/>
    <w:rsid w:val="283006CB"/>
    <w:rsid w:val="283C5EAB"/>
    <w:rsid w:val="283F446A"/>
    <w:rsid w:val="284C4A2B"/>
    <w:rsid w:val="28896941"/>
    <w:rsid w:val="288A2311"/>
    <w:rsid w:val="288C7A13"/>
    <w:rsid w:val="28942A08"/>
    <w:rsid w:val="291D0C4F"/>
    <w:rsid w:val="292E501E"/>
    <w:rsid w:val="29387837"/>
    <w:rsid w:val="29671ECA"/>
    <w:rsid w:val="29947037"/>
    <w:rsid w:val="29B53FFD"/>
    <w:rsid w:val="29D7648C"/>
    <w:rsid w:val="2A3E70CF"/>
    <w:rsid w:val="2A6428AE"/>
    <w:rsid w:val="2A8D6001"/>
    <w:rsid w:val="2A9867EE"/>
    <w:rsid w:val="2A9D2795"/>
    <w:rsid w:val="2A9E71D0"/>
    <w:rsid w:val="2ACB0237"/>
    <w:rsid w:val="2AE35581"/>
    <w:rsid w:val="2AF8590E"/>
    <w:rsid w:val="2B0602BE"/>
    <w:rsid w:val="2B4104F9"/>
    <w:rsid w:val="2B4A1AA4"/>
    <w:rsid w:val="2B7663F5"/>
    <w:rsid w:val="2B88437A"/>
    <w:rsid w:val="2B8C6845"/>
    <w:rsid w:val="2B990AA9"/>
    <w:rsid w:val="2BB92785"/>
    <w:rsid w:val="2BBA09D7"/>
    <w:rsid w:val="2BFF688F"/>
    <w:rsid w:val="2C091017"/>
    <w:rsid w:val="2C2B3683"/>
    <w:rsid w:val="2C574478"/>
    <w:rsid w:val="2C673F8F"/>
    <w:rsid w:val="2C88621F"/>
    <w:rsid w:val="2C8D5567"/>
    <w:rsid w:val="2CB41D10"/>
    <w:rsid w:val="2CD47877"/>
    <w:rsid w:val="2CEF7FC7"/>
    <w:rsid w:val="2D0A7013"/>
    <w:rsid w:val="2D237DF4"/>
    <w:rsid w:val="2D3746AF"/>
    <w:rsid w:val="2D454904"/>
    <w:rsid w:val="2D5845FD"/>
    <w:rsid w:val="2D652BC5"/>
    <w:rsid w:val="2D7746A6"/>
    <w:rsid w:val="2D90422B"/>
    <w:rsid w:val="2DBC46B0"/>
    <w:rsid w:val="2DE0754F"/>
    <w:rsid w:val="2DEA30CA"/>
    <w:rsid w:val="2DF919BD"/>
    <w:rsid w:val="2E005886"/>
    <w:rsid w:val="2E04428C"/>
    <w:rsid w:val="2E1D24DF"/>
    <w:rsid w:val="2E325BA4"/>
    <w:rsid w:val="2E6764C9"/>
    <w:rsid w:val="2E7A444E"/>
    <w:rsid w:val="2E823302"/>
    <w:rsid w:val="2E864BA1"/>
    <w:rsid w:val="2E982B26"/>
    <w:rsid w:val="2E986CFE"/>
    <w:rsid w:val="2EB74F7A"/>
    <w:rsid w:val="2EF5261E"/>
    <w:rsid w:val="2EF5613B"/>
    <w:rsid w:val="2EFF2BA5"/>
    <w:rsid w:val="2F104C34"/>
    <w:rsid w:val="2F3C5BA7"/>
    <w:rsid w:val="2F884949"/>
    <w:rsid w:val="2F8F752F"/>
    <w:rsid w:val="2FB0355D"/>
    <w:rsid w:val="2FC32F68"/>
    <w:rsid w:val="2FD0462E"/>
    <w:rsid w:val="2FDA6411"/>
    <w:rsid w:val="2FEC678F"/>
    <w:rsid w:val="2FF87947"/>
    <w:rsid w:val="30615EA3"/>
    <w:rsid w:val="3069477A"/>
    <w:rsid w:val="30797F8B"/>
    <w:rsid w:val="30DF243B"/>
    <w:rsid w:val="311C7A3E"/>
    <w:rsid w:val="311F66F5"/>
    <w:rsid w:val="312760B3"/>
    <w:rsid w:val="31295CB7"/>
    <w:rsid w:val="313C0812"/>
    <w:rsid w:val="31464ABB"/>
    <w:rsid w:val="317320B1"/>
    <w:rsid w:val="3175714F"/>
    <w:rsid w:val="31932795"/>
    <w:rsid w:val="31975317"/>
    <w:rsid w:val="319D671E"/>
    <w:rsid w:val="31B71515"/>
    <w:rsid w:val="31C61E0F"/>
    <w:rsid w:val="31D56B0A"/>
    <w:rsid w:val="31FC62AE"/>
    <w:rsid w:val="3204479C"/>
    <w:rsid w:val="32096215"/>
    <w:rsid w:val="320F4EAD"/>
    <w:rsid w:val="322E0C21"/>
    <w:rsid w:val="323629ED"/>
    <w:rsid w:val="324C7EAF"/>
    <w:rsid w:val="326F3B9E"/>
    <w:rsid w:val="329333DD"/>
    <w:rsid w:val="32A27B1D"/>
    <w:rsid w:val="32CD1C66"/>
    <w:rsid w:val="32E35C3A"/>
    <w:rsid w:val="332C152E"/>
    <w:rsid w:val="332C1A8F"/>
    <w:rsid w:val="33467E05"/>
    <w:rsid w:val="335E1555"/>
    <w:rsid w:val="33802506"/>
    <w:rsid w:val="33995376"/>
    <w:rsid w:val="339B13BA"/>
    <w:rsid w:val="33D41194"/>
    <w:rsid w:val="33DF2DA8"/>
    <w:rsid w:val="340A6274"/>
    <w:rsid w:val="340D366E"/>
    <w:rsid w:val="34630E03"/>
    <w:rsid w:val="34C5712E"/>
    <w:rsid w:val="34E46AC5"/>
    <w:rsid w:val="34EC3BCC"/>
    <w:rsid w:val="34F87471"/>
    <w:rsid w:val="35023BEC"/>
    <w:rsid w:val="350B4052"/>
    <w:rsid w:val="351449FC"/>
    <w:rsid w:val="35223149"/>
    <w:rsid w:val="35661288"/>
    <w:rsid w:val="359E4EC6"/>
    <w:rsid w:val="35A16764"/>
    <w:rsid w:val="35DE1766"/>
    <w:rsid w:val="362F58DC"/>
    <w:rsid w:val="3640380C"/>
    <w:rsid w:val="365B4B65"/>
    <w:rsid w:val="3667350A"/>
    <w:rsid w:val="367F4CF7"/>
    <w:rsid w:val="3681431A"/>
    <w:rsid w:val="369260AD"/>
    <w:rsid w:val="36BC445A"/>
    <w:rsid w:val="36D77E83"/>
    <w:rsid w:val="36F50A2E"/>
    <w:rsid w:val="36FB19C1"/>
    <w:rsid w:val="37001D49"/>
    <w:rsid w:val="371371EE"/>
    <w:rsid w:val="371B72A0"/>
    <w:rsid w:val="37226B12"/>
    <w:rsid w:val="374B4BD9"/>
    <w:rsid w:val="3763389D"/>
    <w:rsid w:val="377F77DC"/>
    <w:rsid w:val="379E73FF"/>
    <w:rsid w:val="37A04371"/>
    <w:rsid w:val="37BB6459"/>
    <w:rsid w:val="37C702A9"/>
    <w:rsid w:val="37C761AD"/>
    <w:rsid w:val="37CB1BA7"/>
    <w:rsid w:val="37DD7DB5"/>
    <w:rsid w:val="38183972"/>
    <w:rsid w:val="38376F0C"/>
    <w:rsid w:val="383E3E97"/>
    <w:rsid w:val="38413C9C"/>
    <w:rsid w:val="385C4BC4"/>
    <w:rsid w:val="385F223A"/>
    <w:rsid w:val="38627426"/>
    <w:rsid w:val="38632B92"/>
    <w:rsid w:val="38AA423A"/>
    <w:rsid w:val="38C509BB"/>
    <w:rsid w:val="38F4537F"/>
    <w:rsid w:val="39050DB8"/>
    <w:rsid w:val="3914374D"/>
    <w:rsid w:val="39186C47"/>
    <w:rsid w:val="393C6ED0"/>
    <w:rsid w:val="39495F16"/>
    <w:rsid w:val="39715A07"/>
    <w:rsid w:val="39B747A8"/>
    <w:rsid w:val="39E11784"/>
    <w:rsid w:val="3A3140B4"/>
    <w:rsid w:val="3AA840F1"/>
    <w:rsid w:val="3AC11EF2"/>
    <w:rsid w:val="3AD4138A"/>
    <w:rsid w:val="3ADB0022"/>
    <w:rsid w:val="3AE31593"/>
    <w:rsid w:val="3AE3482A"/>
    <w:rsid w:val="3AE55B2F"/>
    <w:rsid w:val="3B057795"/>
    <w:rsid w:val="3B0E64F5"/>
    <w:rsid w:val="3B141786"/>
    <w:rsid w:val="3B4F775C"/>
    <w:rsid w:val="3B7A05B3"/>
    <w:rsid w:val="3B883620"/>
    <w:rsid w:val="3BBA40DC"/>
    <w:rsid w:val="3BE21884"/>
    <w:rsid w:val="3BF948A2"/>
    <w:rsid w:val="3BFD65FB"/>
    <w:rsid w:val="3C277440"/>
    <w:rsid w:val="3C3379CF"/>
    <w:rsid w:val="3C3420E0"/>
    <w:rsid w:val="3C3A6FCB"/>
    <w:rsid w:val="3C553744"/>
    <w:rsid w:val="3C607ED1"/>
    <w:rsid w:val="3C726CD8"/>
    <w:rsid w:val="3C8B3CCA"/>
    <w:rsid w:val="3C937904"/>
    <w:rsid w:val="3CBD456D"/>
    <w:rsid w:val="3D07322A"/>
    <w:rsid w:val="3D291CEC"/>
    <w:rsid w:val="3D307C72"/>
    <w:rsid w:val="3D595B76"/>
    <w:rsid w:val="3D756378"/>
    <w:rsid w:val="3DB159B2"/>
    <w:rsid w:val="3DE06791"/>
    <w:rsid w:val="3DF06829"/>
    <w:rsid w:val="3E060FD2"/>
    <w:rsid w:val="3E1950D3"/>
    <w:rsid w:val="3E2E2B5F"/>
    <w:rsid w:val="3E622809"/>
    <w:rsid w:val="3E752133"/>
    <w:rsid w:val="3E7A2BF0"/>
    <w:rsid w:val="3E887EA3"/>
    <w:rsid w:val="3F23643C"/>
    <w:rsid w:val="3F514D57"/>
    <w:rsid w:val="3F543BA8"/>
    <w:rsid w:val="3F565079"/>
    <w:rsid w:val="3F6C179B"/>
    <w:rsid w:val="3F740A45"/>
    <w:rsid w:val="3F7728BF"/>
    <w:rsid w:val="3F9F42C5"/>
    <w:rsid w:val="3FAF0F8B"/>
    <w:rsid w:val="3FC1012F"/>
    <w:rsid w:val="3FC4377B"/>
    <w:rsid w:val="3FC55C45"/>
    <w:rsid w:val="402204A1"/>
    <w:rsid w:val="40385F17"/>
    <w:rsid w:val="405915BE"/>
    <w:rsid w:val="406C7E62"/>
    <w:rsid w:val="407F76A2"/>
    <w:rsid w:val="408747C4"/>
    <w:rsid w:val="40886AB0"/>
    <w:rsid w:val="40CB0B39"/>
    <w:rsid w:val="41222714"/>
    <w:rsid w:val="41254828"/>
    <w:rsid w:val="41284B62"/>
    <w:rsid w:val="41540B2E"/>
    <w:rsid w:val="415D593F"/>
    <w:rsid w:val="41687E40"/>
    <w:rsid w:val="4171348E"/>
    <w:rsid w:val="417A37C0"/>
    <w:rsid w:val="417C6E5D"/>
    <w:rsid w:val="41B44B58"/>
    <w:rsid w:val="41B4781F"/>
    <w:rsid w:val="41B55629"/>
    <w:rsid w:val="420936C7"/>
    <w:rsid w:val="420F77F0"/>
    <w:rsid w:val="422957B3"/>
    <w:rsid w:val="422C1A1B"/>
    <w:rsid w:val="42301F23"/>
    <w:rsid w:val="423034FD"/>
    <w:rsid w:val="4278084D"/>
    <w:rsid w:val="42A631E7"/>
    <w:rsid w:val="42BB7909"/>
    <w:rsid w:val="42D261AF"/>
    <w:rsid w:val="42E816D2"/>
    <w:rsid w:val="42F75A6F"/>
    <w:rsid w:val="42FF2D1C"/>
    <w:rsid w:val="43040332"/>
    <w:rsid w:val="430D368B"/>
    <w:rsid w:val="431119D4"/>
    <w:rsid w:val="43144A19"/>
    <w:rsid w:val="4355099C"/>
    <w:rsid w:val="43B02610"/>
    <w:rsid w:val="43B12268"/>
    <w:rsid w:val="43B802F0"/>
    <w:rsid w:val="43C51BF7"/>
    <w:rsid w:val="43DB1FEB"/>
    <w:rsid w:val="43FE2FD4"/>
    <w:rsid w:val="44343FA0"/>
    <w:rsid w:val="44692B43"/>
    <w:rsid w:val="448636F5"/>
    <w:rsid w:val="448E5F23"/>
    <w:rsid w:val="44D02BC2"/>
    <w:rsid w:val="44D25347"/>
    <w:rsid w:val="44DD0E3B"/>
    <w:rsid w:val="44E126D9"/>
    <w:rsid w:val="44E16B7D"/>
    <w:rsid w:val="44F25C6F"/>
    <w:rsid w:val="451E70F3"/>
    <w:rsid w:val="45246A6A"/>
    <w:rsid w:val="454351D5"/>
    <w:rsid w:val="456F23DB"/>
    <w:rsid w:val="45725A27"/>
    <w:rsid w:val="45A02594"/>
    <w:rsid w:val="45A831F7"/>
    <w:rsid w:val="45B3778F"/>
    <w:rsid w:val="45D95AA6"/>
    <w:rsid w:val="45E44903"/>
    <w:rsid w:val="46456C98"/>
    <w:rsid w:val="46471F8A"/>
    <w:rsid w:val="467A469E"/>
    <w:rsid w:val="468679DC"/>
    <w:rsid w:val="46D05324"/>
    <w:rsid w:val="46D5626E"/>
    <w:rsid w:val="46E92013"/>
    <w:rsid w:val="46EC35B7"/>
    <w:rsid w:val="46F96400"/>
    <w:rsid w:val="46FD4105"/>
    <w:rsid w:val="47297CC2"/>
    <w:rsid w:val="474A0503"/>
    <w:rsid w:val="476475F1"/>
    <w:rsid w:val="476B0980"/>
    <w:rsid w:val="478E0BD6"/>
    <w:rsid w:val="47AE41AD"/>
    <w:rsid w:val="47F33399"/>
    <w:rsid w:val="47F95F8C"/>
    <w:rsid w:val="485C7545"/>
    <w:rsid w:val="486A0C38"/>
    <w:rsid w:val="486F6978"/>
    <w:rsid w:val="489363E0"/>
    <w:rsid w:val="49224CD6"/>
    <w:rsid w:val="49507E2D"/>
    <w:rsid w:val="49682D9F"/>
    <w:rsid w:val="496F0BFB"/>
    <w:rsid w:val="497C0C22"/>
    <w:rsid w:val="498015D8"/>
    <w:rsid w:val="49D767AB"/>
    <w:rsid w:val="49DE6203"/>
    <w:rsid w:val="49EC7050"/>
    <w:rsid w:val="49FC11EF"/>
    <w:rsid w:val="4A007AA5"/>
    <w:rsid w:val="4A1E2A29"/>
    <w:rsid w:val="4A2D63C1"/>
    <w:rsid w:val="4A3B288C"/>
    <w:rsid w:val="4A436897"/>
    <w:rsid w:val="4A72164F"/>
    <w:rsid w:val="4A7C3D6C"/>
    <w:rsid w:val="4A8568AE"/>
    <w:rsid w:val="4AB54221"/>
    <w:rsid w:val="4ABA28A7"/>
    <w:rsid w:val="4AC12232"/>
    <w:rsid w:val="4AD14F9E"/>
    <w:rsid w:val="4AF53E95"/>
    <w:rsid w:val="4B251F56"/>
    <w:rsid w:val="4B2E419E"/>
    <w:rsid w:val="4B2F60E9"/>
    <w:rsid w:val="4B423A85"/>
    <w:rsid w:val="4B6B53F2"/>
    <w:rsid w:val="4B797B0F"/>
    <w:rsid w:val="4B7D03E7"/>
    <w:rsid w:val="4B8B3749"/>
    <w:rsid w:val="4B8C794F"/>
    <w:rsid w:val="4BC10550"/>
    <w:rsid w:val="4BC468B1"/>
    <w:rsid w:val="4BFE0015"/>
    <w:rsid w:val="4C052A43"/>
    <w:rsid w:val="4C0849EF"/>
    <w:rsid w:val="4C1110EA"/>
    <w:rsid w:val="4C156231"/>
    <w:rsid w:val="4C3E1267"/>
    <w:rsid w:val="4C400620"/>
    <w:rsid w:val="4C4579F1"/>
    <w:rsid w:val="4C5145E8"/>
    <w:rsid w:val="4C675DE6"/>
    <w:rsid w:val="4C6D1B1B"/>
    <w:rsid w:val="4C6E3CC3"/>
    <w:rsid w:val="4C87625C"/>
    <w:rsid w:val="4C8A5D4C"/>
    <w:rsid w:val="4CA824AC"/>
    <w:rsid w:val="4CB9218D"/>
    <w:rsid w:val="4CC20A7E"/>
    <w:rsid w:val="4CC51A03"/>
    <w:rsid w:val="4CC77104"/>
    <w:rsid w:val="4CEF795D"/>
    <w:rsid w:val="4D0C4B87"/>
    <w:rsid w:val="4D2D0021"/>
    <w:rsid w:val="4D341814"/>
    <w:rsid w:val="4D465454"/>
    <w:rsid w:val="4D750521"/>
    <w:rsid w:val="4D7A49A9"/>
    <w:rsid w:val="4DA42E3E"/>
    <w:rsid w:val="4DAA76F7"/>
    <w:rsid w:val="4DB712F2"/>
    <w:rsid w:val="4DB841F3"/>
    <w:rsid w:val="4DD94895"/>
    <w:rsid w:val="4DDA3C64"/>
    <w:rsid w:val="4DDA7F5C"/>
    <w:rsid w:val="4DEB45C9"/>
    <w:rsid w:val="4DFF0074"/>
    <w:rsid w:val="4E075D2B"/>
    <w:rsid w:val="4E30022D"/>
    <w:rsid w:val="4E353A96"/>
    <w:rsid w:val="4E4731C4"/>
    <w:rsid w:val="4E791BD4"/>
    <w:rsid w:val="4E9E5ADF"/>
    <w:rsid w:val="4EA12ED9"/>
    <w:rsid w:val="4EA66DD5"/>
    <w:rsid w:val="4EDE2348"/>
    <w:rsid w:val="4EEA5868"/>
    <w:rsid w:val="4F0E4A13"/>
    <w:rsid w:val="4F102210"/>
    <w:rsid w:val="4F563CC4"/>
    <w:rsid w:val="4F5B577E"/>
    <w:rsid w:val="4FA94C3E"/>
    <w:rsid w:val="4FAA26BF"/>
    <w:rsid w:val="4FE45CAE"/>
    <w:rsid w:val="5027330E"/>
    <w:rsid w:val="502E60F8"/>
    <w:rsid w:val="504F377B"/>
    <w:rsid w:val="506B3DC0"/>
    <w:rsid w:val="506F4ACA"/>
    <w:rsid w:val="50753279"/>
    <w:rsid w:val="507B2CDD"/>
    <w:rsid w:val="507C1E50"/>
    <w:rsid w:val="50874A7C"/>
    <w:rsid w:val="50D47596"/>
    <w:rsid w:val="5119144D"/>
    <w:rsid w:val="51200A2D"/>
    <w:rsid w:val="51493AE0"/>
    <w:rsid w:val="519311FF"/>
    <w:rsid w:val="519D3E60"/>
    <w:rsid w:val="519D42BB"/>
    <w:rsid w:val="51A4340C"/>
    <w:rsid w:val="51D535C6"/>
    <w:rsid w:val="51F0233E"/>
    <w:rsid w:val="51F61FE3"/>
    <w:rsid w:val="51F80239"/>
    <w:rsid w:val="51F8100B"/>
    <w:rsid w:val="5248680B"/>
    <w:rsid w:val="525F32D8"/>
    <w:rsid w:val="526D1A50"/>
    <w:rsid w:val="52B54C41"/>
    <w:rsid w:val="52B626C2"/>
    <w:rsid w:val="52C4568B"/>
    <w:rsid w:val="52C6260F"/>
    <w:rsid w:val="52CA226C"/>
    <w:rsid w:val="53050629"/>
    <w:rsid w:val="53073C53"/>
    <w:rsid w:val="53113464"/>
    <w:rsid w:val="5316288B"/>
    <w:rsid w:val="537868FE"/>
    <w:rsid w:val="53B2385F"/>
    <w:rsid w:val="53B52B8D"/>
    <w:rsid w:val="53C5766A"/>
    <w:rsid w:val="53DB6E8D"/>
    <w:rsid w:val="53F1106C"/>
    <w:rsid w:val="54040192"/>
    <w:rsid w:val="542C1497"/>
    <w:rsid w:val="54462117"/>
    <w:rsid w:val="54462559"/>
    <w:rsid w:val="545309D2"/>
    <w:rsid w:val="54556C40"/>
    <w:rsid w:val="548B440F"/>
    <w:rsid w:val="54AA0D3A"/>
    <w:rsid w:val="54C343AC"/>
    <w:rsid w:val="54DF2BA9"/>
    <w:rsid w:val="54E54409"/>
    <w:rsid w:val="551F4E41"/>
    <w:rsid w:val="55436A98"/>
    <w:rsid w:val="556C2493"/>
    <w:rsid w:val="557B0928"/>
    <w:rsid w:val="557D5884"/>
    <w:rsid w:val="55833339"/>
    <w:rsid w:val="55A75279"/>
    <w:rsid w:val="55C027DF"/>
    <w:rsid w:val="55C66183"/>
    <w:rsid w:val="55D65B5E"/>
    <w:rsid w:val="560044FF"/>
    <w:rsid w:val="560D6A81"/>
    <w:rsid w:val="562616C9"/>
    <w:rsid w:val="562E70CC"/>
    <w:rsid w:val="56311020"/>
    <w:rsid w:val="563F5F26"/>
    <w:rsid w:val="56755377"/>
    <w:rsid w:val="567747E3"/>
    <w:rsid w:val="56E31118"/>
    <w:rsid w:val="56E36785"/>
    <w:rsid w:val="56F94D26"/>
    <w:rsid w:val="57455672"/>
    <w:rsid w:val="576404B7"/>
    <w:rsid w:val="57814A98"/>
    <w:rsid w:val="578C0E68"/>
    <w:rsid w:val="57950047"/>
    <w:rsid w:val="579B7107"/>
    <w:rsid w:val="57A52C26"/>
    <w:rsid w:val="57D4431F"/>
    <w:rsid w:val="57D91A30"/>
    <w:rsid w:val="57F86260"/>
    <w:rsid w:val="57FE0410"/>
    <w:rsid w:val="582E2363"/>
    <w:rsid w:val="58722B28"/>
    <w:rsid w:val="5886561A"/>
    <w:rsid w:val="58873140"/>
    <w:rsid w:val="588B2C30"/>
    <w:rsid w:val="58A12C3E"/>
    <w:rsid w:val="58A84F90"/>
    <w:rsid w:val="58F76517"/>
    <w:rsid w:val="59175C2D"/>
    <w:rsid w:val="592A7B90"/>
    <w:rsid w:val="593F1D25"/>
    <w:rsid w:val="594904B3"/>
    <w:rsid w:val="59723DF0"/>
    <w:rsid w:val="59882670"/>
    <w:rsid w:val="598F587E"/>
    <w:rsid w:val="599C0E6D"/>
    <w:rsid w:val="59A30C9C"/>
    <w:rsid w:val="59A5418D"/>
    <w:rsid w:val="59AC514A"/>
    <w:rsid w:val="59C77C52"/>
    <w:rsid w:val="5A19415E"/>
    <w:rsid w:val="5A2C39A3"/>
    <w:rsid w:val="5A4C1CA1"/>
    <w:rsid w:val="5A6C4CE3"/>
    <w:rsid w:val="5A6D3BE8"/>
    <w:rsid w:val="5A6E693B"/>
    <w:rsid w:val="5A8316F4"/>
    <w:rsid w:val="5A874791"/>
    <w:rsid w:val="5A902780"/>
    <w:rsid w:val="5A940F48"/>
    <w:rsid w:val="5AAD1584"/>
    <w:rsid w:val="5ABE7AB0"/>
    <w:rsid w:val="5AC37D8E"/>
    <w:rsid w:val="5B222411"/>
    <w:rsid w:val="5B3D0A3D"/>
    <w:rsid w:val="5B5639C9"/>
    <w:rsid w:val="5B8F47E5"/>
    <w:rsid w:val="5B902A45"/>
    <w:rsid w:val="5BCA1CC1"/>
    <w:rsid w:val="5BDE05C6"/>
    <w:rsid w:val="5BE30367"/>
    <w:rsid w:val="5C6173BF"/>
    <w:rsid w:val="5C6B3FBA"/>
    <w:rsid w:val="5C6C4B26"/>
    <w:rsid w:val="5CC606DB"/>
    <w:rsid w:val="5CCB27CD"/>
    <w:rsid w:val="5CD64D27"/>
    <w:rsid w:val="5CD77512"/>
    <w:rsid w:val="5D080CF3"/>
    <w:rsid w:val="5D156F6C"/>
    <w:rsid w:val="5D2B27E7"/>
    <w:rsid w:val="5D2C42B6"/>
    <w:rsid w:val="5D4930BA"/>
    <w:rsid w:val="5D635A94"/>
    <w:rsid w:val="5D6834E9"/>
    <w:rsid w:val="5D88074A"/>
    <w:rsid w:val="5DDB01B6"/>
    <w:rsid w:val="5DDB1F64"/>
    <w:rsid w:val="5E280F21"/>
    <w:rsid w:val="5E4D0988"/>
    <w:rsid w:val="5E5003CB"/>
    <w:rsid w:val="5EA04F5B"/>
    <w:rsid w:val="5EAE61E6"/>
    <w:rsid w:val="5ED74E21"/>
    <w:rsid w:val="5EDD2DDC"/>
    <w:rsid w:val="5F037243"/>
    <w:rsid w:val="5F1D429B"/>
    <w:rsid w:val="5F1F2324"/>
    <w:rsid w:val="5FA32F55"/>
    <w:rsid w:val="5FB23198"/>
    <w:rsid w:val="5FB63EE4"/>
    <w:rsid w:val="5FB962D5"/>
    <w:rsid w:val="600211C8"/>
    <w:rsid w:val="601259E5"/>
    <w:rsid w:val="6025124B"/>
    <w:rsid w:val="604E1113"/>
    <w:rsid w:val="606232AE"/>
    <w:rsid w:val="60730FCA"/>
    <w:rsid w:val="60822B6A"/>
    <w:rsid w:val="60A5089F"/>
    <w:rsid w:val="60B46A9C"/>
    <w:rsid w:val="60C45117"/>
    <w:rsid w:val="610872BF"/>
    <w:rsid w:val="610C68D8"/>
    <w:rsid w:val="61330309"/>
    <w:rsid w:val="614E0C9F"/>
    <w:rsid w:val="614E5143"/>
    <w:rsid w:val="61883090"/>
    <w:rsid w:val="618E081D"/>
    <w:rsid w:val="61A35225"/>
    <w:rsid w:val="620C5868"/>
    <w:rsid w:val="621243C2"/>
    <w:rsid w:val="62202A47"/>
    <w:rsid w:val="622A170C"/>
    <w:rsid w:val="624317A6"/>
    <w:rsid w:val="624A346F"/>
    <w:rsid w:val="624C47DF"/>
    <w:rsid w:val="62554D62"/>
    <w:rsid w:val="62743BA5"/>
    <w:rsid w:val="62857BAF"/>
    <w:rsid w:val="629574EE"/>
    <w:rsid w:val="62A84A60"/>
    <w:rsid w:val="62A85C93"/>
    <w:rsid w:val="62DF3053"/>
    <w:rsid w:val="63464323"/>
    <w:rsid w:val="639F01FD"/>
    <w:rsid w:val="63A375D8"/>
    <w:rsid w:val="63D12CE9"/>
    <w:rsid w:val="63DD455C"/>
    <w:rsid w:val="63FA510E"/>
    <w:rsid w:val="63FD075A"/>
    <w:rsid w:val="63FF1835"/>
    <w:rsid w:val="64105387"/>
    <w:rsid w:val="64264155"/>
    <w:rsid w:val="642E6B65"/>
    <w:rsid w:val="64342E76"/>
    <w:rsid w:val="646C600B"/>
    <w:rsid w:val="647C5B23"/>
    <w:rsid w:val="64846EDD"/>
    <w:rsid w:val="648D7E85"/>
    <w:rsid w:val="64B300C5"/>
    <w:rsid w:val="64C14E5C"/>
    <w:rsid w:val="64C37BF6"/>
    <w:rsid w:val="64C516D0"/>
    <w:rsid w:val="650B0753"/>
    <w:rsid w:val="65180750"/>
    <w:rsid w:val="65432F4B"/>
    <w:rsid w:val="65690BD8"/>
    <w:rsid w:val="659A0956"/>
    <w:rsid w:val="65BC08CD"/>
    <w:rsid w:val="65C2575B"/>
    <w:rsid w:val="6607689C"/>
    <w:rsid w:val="66236B9E"/>
    <w:rsid w:val="662D4FF3"/>
    <w:rsid w:val="663366B5"/>
    <w:rsid w:val="66B3314A"/>
    <w:rsid w:val="66B94F97"/>
    <w:rsid w:val="66D94F5C"/>
    <w:rsid w:val="672506F4"/>
    <w:rsid w:val="67281559"/>
    <w:rsid w:val="672A5D0A"/>
    <w:rsid w:val="672B61CF"/>
    <w:rsid w:val="67472418"/>
    <w:rsid w:val="675F31A6"/>
    <w:rsid w:val="67AE7B4E"/>
    <w:rsid w:val="67C21409"/>
    <w:rsid w:val="67C617B4"/>
    <w:rsid w:val="67CA4DF7"/>
    <w:rsid w:val="67CE3126"/>
    <w:rsid w:val="685B3E63"/>
    <w:rsid w:val="68685BD7"/>
    <w:rsid w:val="68827C18"/>
    <w:rsid w:val="688F6075"/>
    <w:rsid w:val="689F73B6"/>
    <w:rsid w:val="68CE0DFE"/>
    <w:rsid w:val="68E36170"/>
    <w:rsid w:val="68EF7DAB"/>
    <w:rsid w:val="690470DA"/>
    <w:rsid w:val="69270753"/>
    <w:rsid w:val="692E581B"/>
    <w:rsid w:val="69362BAA"/>
    <w:rsid w:val="693F5627"/>
    <w:rsid w:val="69594684"/>
    <w:rsid w:val="69736928"/>
    <w:rsid w:val="697C221C"/>
    <w:rsid w:val="697F058F"/>
    <w:rsid w:val="69AD626E"/>
    <w:rsid w:val="69BB2FEF"/>
    <w:rsid w:val="69C14F0F"/>
    <w:rsid w:val="69D02B99"/>
    <w:rsid w:val="69E004C3"/>
    <w:rsid w:val="6A1F55DC"/>
    <w:rsid w:val="6A372C18"/>
    <w:rsid w:val="6A3C1223"/>
    <w:rsid w:val="6A425119"/>
    <w:rsid w:val="6A5259EE"/>
    <w:rsid w:val="6A5512F0"/>
    <w:rsid w:val="6A6B69D3"/>
    <w:rsid w:val="6A77474D"/>
    <w:rsid w:val="6AB25B1C"/>
    <w:rsid w:val="6AD14E1A"/>
    <w:rsid w:val="6AFF5C1B"/>
    <w:rsid w:val="6AFF5C70"/>
    <w:rsid w:val="6B034621"/>
    <w:rsid w:val="6B1C33D6"/>
    <w:rsid w:val="6B3531BA"/>
    <w:rsid w:val="6B45709F"/>
    <w:rsid w:val="6B5E5F82"/>
    <w:rsid w:val="6B63041D"/>
    <w:rsid w:val="6B7E03D2"/>
    <w:rsid w:val="6B8E0982"/>
    <w:rsid w:val="6BB6110A"/>
    <w:rsid w:val="6BBE100F"/>
    <w:rsid w:val="6BC04E8F"/>
    <w:rsid w:val="6BD5497A"/>
    <w:rsid w:val="6C044D7B"/>
    <w:rsid w:val="6C054650"/>
    <w:rsid w:val="6C264CF2"/>
    <w:rsid w:val="6C355C98"/>
    <w:rsid w:val="6C45287D"/>
    <w:rsid w:val="6C507FC1"/>
    <w:rsid w:val="6C681AB1"/>
    <w:rsid w:val="6C89623D"/>
    <w:rsid w:val="6CEE3336"/>
    <w:rsid w:val="6CF317F4"/>
    <w:rsid w:val="6CFC5A53"/>
    <w:rsid w:val="6D0C6BF5"/>
    <w:rsid w:val="6D2A0812"/>
    <w:rsid w:val="6D42543E"/>
    <w:rsid w:val="6D617FAC"/>
    <w:rsid w:val="6D8D7308"/>
    <w:rsid w:val="6DA4006D"/>
    <w:rsid w:val="6E276AFF"/>
    <w:rsid w:val="6E2C4391"/>
    <w:rsid w:val="6E421B8B"/>
    <w:rsid w:val="6E6E2980"/>
    <w:rsid w:val="6E6E9C28"/>
    <w:rsid w:val="6EA2262A"/>
    <w:rsid w:val="6EA25D30"/>
    <w:rsid w:val="6EAF6748"/>
    <w:rsid w:val="6ECD1F14"/>
    <w:rsid w:val="6ED9046A"/>
    <w:rsid w:val="6ED96113"/>
    <w:rsid w:val="6EDD502C"/>
    <w:rsid w:val="6F046D30"/>
    <w:rsid w:val="6F457799"/>
    <w:rsid w:val="6F730668"/>
    <w:rsid w:val="6F7F1EFD"/>
    <w:rsid w:val="6FB16FC8"/>
    <w:rsid w:val="701D465E"/>
    <w:rsid w:val="70622071"/>
    <w:rsid w:val="706F1805"/>
    <w:rsid w:val="70B03F33"/>
    <w:rsid w:val="70BD0817"/>
    <w:rsid w:val="70EB02B8"/>
    <w:rsid w:val="7105139C"/>
    <w:rsid w:val="71072407"/>
    <w:rsid w:val="710F390D"/>
    <w:rsid w:val="713F2DD7"/>
    <w:rsid w:val="7153263A"/>
    <w:rsid w:val="71641E18"/>
    <w:rsid w:val="717B51BA"/>
    <w:rsid w:val="71CF3F9D"/>
    <w:rsid w:val="71D00147"/>
    <w:rsid w:val="71D15700"/>
    <w:rsid w:val="71DA386B"/>
    <w:rsid w:val="71E37168"/>
    <w:rsid w:val="71F37403"/>
    <w:rsid w:val="71F60B5D"/>
    <w:rsid w:val="71FE53B2"/>
    <w:rsid w:val="72010916"/>
    <w:rsid w:val="72080A73"/>
    <w:rsid w:val="721C3121"/>
    <w:rsid w:val="722717C4"/>
    <w:rsid w:val="72531BAF"/>
    <w:rsid w:val="7277572C"/>
    <w:rsid w:val="727A7B45"/>
    <w:rsid w:val="72D81EAE"/>
    <w:rsid w:val="73075151"/>
    <w:rsid w:val="73122EF5"/>
    <w:rsid w:val="73632ADC"/>
    <w:rsid w:val="73654992"/>
    <w:rsid w:val="7392374B"/>
    <w:rsid w:val="7395275D"/>
    <w:rsid w:val="73B40854"/>
    <w:rsid w:val="73CD0149"/>
    <w:rsid w:val="73D72D76"/>
    <w:rsid w:val="73DE0228"/>
    <w:rsid w:val="73DE4104"/>
    <w:rsid w:val="73E75520"/>
    <w:rsid w:val="740E6EC4"/>
    <w:rsid w:val="741D055A"/>
    <w:rsid w:val="74283B1F"/>
    <w:rsid w:val="74287EC2"/>
    <w:rsid w:val="74401E76"/>
    <w:rsid w:val="74677A21"/>
    <w:rsid w:val="749B2014"/>
    <w:rsid w:val="74BD01BD"/>
    <w:rsid w:val="74C23A26"/>
    <w:rsid w:val="74C50E20"/>
    <w:rsid w:val="75057C8A"/>
    <w:rsid w:val="750816CA"/>
    <w:rsid w:val="751725E8"/>
    <w:rsid w:val="75274132"/>
    <w:rsid w:val="75275C40"/>
    <w:rsid w:val="75297601"/>
    <w:rsid w:val="752F0ACE"/>
    <w:rsid w:val="75363ACC"/>
    <w:rsid w:val="753C7334"/>
    <w:rsid w:val="75671ED7"/>
    <w:rsid w:val="757320DE"/>
    <w:rsid w:val="75936516"/>
    <w:rsid w:val="75AF5D58"/>
    <w:rsid w:val="75D4705E"/>
    <w:rsid w:val="75D94B83"/>
    <w:rsid w:val="75E450FA"/>
    <w:rsid w:val="760D1EE9"/>
    <w:rsid w:val="763273F7"/>
    <w:rsid w:val="763C007B"/>
    <w:rsid w:val="767F67DC"/>
    <w:rsid w:val="76B84CB2"/>
    <w:rsid w:val="76D812DE"/>
    <w:rsid w:val="770045CD"/>
    <w:rsid w:val="77CA50CB"/>
    <w:rsid w:val="77DD36C8"/>
    <w:rsid w:val="77DE0B76"/>
    <w:rsid w:val="77E85551"/>
    <w:rsid w:val="77F167F8"/>
    <w:rsid w:val="77F79321"/>
    <w:rsid w:val="77FF66EE"/>
    <w:rsid w:val="7808174F"/>
    <w:rsid w:val="780B56E4"/>
    <w:rsid w:val="78137446"/>
    <w:rsid w:val="783F09AA"/>
    <w:rsid w:val="785A4598"/>
    <w:rsid w:val="786A240A"/>
    <w:rsid w:val="78746DE5"/>
    <w:rsid w:val="789475C6"/>
    <w:rsid w:val="78947EC2"/>
    <w:rsid w:val="78BA359E"/>
    <w:rsid w:val="78D350D9"/>
    <w:rsid w:val="793742BB"/>
    <w:rsid w:val="795B2200"/>
    <w:rsid w:val="795D662A"/>
    <w:rsid w:val="7967694A"/>
    <w:rsid w:val="79877B23"/>
    <w:rsid w:val="79AC6AC3"/>
    <w:rsid w:val="79BC6C95"/>
    <w:rsid w:val="79D917F7"/>
    <w:rsid w:val="79EC3DD9"/>
    <w:rsid w:val="79ED50A1"/>
    <w:rsid w:val="7A0E5D54"/>
    <w:rsid w:val="7A187C44"/>
    <w:rsid w:val="7A291E51"/>
    <w:rsid w:val="7A5E6008"/>
    <w:rsid w:val="7A925C48"/>
    <w:rsid w:val="7AA83462"/>
    <w:rsid w:val="7ACB326E"/>
    <w:rsid w:val="7ADE49EA"/>
    <w:rsid w:val="7B0F54EB"/>
    <w:rsid w:val="7B145A11"/>
    <w:rsid w:val="7B486307"/>
    <w:rsid w:val="7B583E9A"/>
    <w:rsid w:val="7B672C31"/>
    <w:rsid w:val="7B7B492E"/>
    <w:rsid w:val="7B883702"/>
    <w:rsid w:val="7B9742BA"/>
    <w:rsid w:val="7B9B6ED9"/>
    <w:rsid w:val="7B9D6653"/>
    <w:rsid w:val="7BA06143"/>
    <w:rsid w:val="7BA749BF"/>
    <w:rsid w:val="7BBD0AA3"/>
    <w:rsid w:val="7BC81F33"/>
    <w:rsid w:val="7BCD1B8A"/>
    <w:rsid w:val="7BEE277E"/>
    <w:rsid w:val="7C26471C"/>
    <w:rsid w:val="7C295844"/>
    <w:rsid w:val="7C354ADD"/>
    <w:rsid w:val="7C3945CD"/>
    <w:rsid w:val="7C4056C4"/>
    <w:rsid w:val="7C532E05"/>
    <w:rsid w:val="7C56760C"/>
    <w:rsid w:val="7C5E6466"/>
    <w:rsid w:val="7C675328"/>
    <w:rsid w:val="7C6F544C"/>
    <w:rsid w:val="7C8554FF"/>
    <w:rsid w:val="7CA63DDC"/>
    <w:rsid w:val="7CAC1243"/>
    <w:rsid w:val="7CB15751"/>
    <w:rsid w:val="7CF964DC"/>
    <w:rsid w:val="7CFA3BCB"/>
    <w:rsid w:val="7CFE0470"/>
    <w:rsid w:val="7CFE6B21"/>
    <w:rsid w:val="7D0A4CEB"/>
    <w:rsid w:val="7D173EB5"/>
    <w:rsid w:val="7D1A2BCE"/>
    <w:rsid w:val="7D260D3E"/>
    <w:rsid w:val="7D421016"/>
    <w:rsid w:val="7DA6482F"/>
    <w:rsid w:val="7DC46119"/>
    <w:rsid w:val="7DF115AC"/>
    <w:rsid w:val="7DF72F28"/>
    <w:rsid w:val="7DFF1847"/>
    <w:rsid w:val="7E1D1CCD"/>
    <w:rsid w:val="7E5C45A3"/>
    <w:rsid w:val="7E9401E1"/>
    <w:rsid w:val="7EB3CC86"/>
    <w:rsid w:val="7EB663A9"/>
    <w:rsid w:val="7EEF5417"/>
    <w:rsid w:val="7EF50B7A"/>
    <w:rsid w:val="7F1E3F4E"/>
    <w:rsid w:val="7F231565"/>
    <w:rsid w:val="7F604567"/>
    <w:rsid w:val="7F6C045A"/>
    <w:rsid w:val="7F726F08"/>
    <w:rsid w:val="7F842003"/>
    <w:rsid w:val="7F8C4BD0"/>
    <w:rsid w:val="7F9A4BB8"/>
    <w:rsid w:val="7FB30019"/>
    <w:rsid w:val="7FCC7BB8"/>
    <w:rsid w:val="BBBF7779"/>
    <w:rsid w:val="C2DF4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3"/>
    <w:unhideWhenUsed/>
    <w:qFormat/>
    <w:uiPriority w:val="0"/>
    <w:pPr>
      <w:ind w:firstLine="420" w:firstLineChars="200"/>
    </w:pPr>
    <w:rPr>
      <w:rFonts w:ascii="Times New Roman" w:hAnsi="Times New Roman" w:cs="Times New Roman"/>
      <w:szCs w:val="22"/>
    </w:rPr>
  </w:style>
  <w:style w:type="paragraph" w:styleId="3">
    <w:name w:val="Body Text"/>
    <w:basedOn w:val="1"/>
    <w:next w:val="4"/>
    <w:qFormat/>
    <w:uiPriority w:val="0"/>
    <w:pPr>
      <w:spacing w:after="120"/>
      <w:jc w:val="left"/>
    </w:pPr>
    <w:rPr>
      <w:rFonts w:ascii="Times New Roman" w:hAnsi="Times New Roman"/>
      <w:szCs w:val="20"/>
      <w:lang w:eastAsia="zh-TW"/>
    </w:rPr>
  </w:style>
  <w:style w:type="paragraph" w:styleId="4">
    <w:name w:val="Body Text 2"/>
    <w:basedOn w:val="1"/>
    <w:qFormat/>
    <w:uiPriority w:val="0"/>
    <w:pPr>
      <w:adjustRightInd w:val="0"/>
      <w:spacing w:after="120" w:line="480" w:lineRule="auto"/>
      <w:jc w:val="left"/>
      <w:textAlignment w:val="baseline"/>
    </w:pPr>
    <w:rPr>
      <w:rFonts w:ascii="Times New Roman" w:hAnsi="Times New Roman"/>
      <w:kern w:val="0"/>
      <w:szCs w:val="20"/>
    </w:rPr>
  </w:style>
  <w:style w:type="paragraph" w:styleId="5">
    <w:name w:val="annotation text"/>
    <w:basedOn w:val="1"/>
    <w:qFormat/>
    <w:uiPriority w:val="0"/>
    <w:pPr>
      <w:jc w:val="left"/>
    </w:pPr>
  </w:style>
  <w:style w:type="paragraph" w:styleId="6">
    <w:name w:val="Normal (Web)"/>
    <w:basedOn w:val="1"/>
    <w:qFormat/>
    <w:uiPriority w:val="99"/>
    <w:pPr>
      <w:widowControl/>
      <w:spacing w:before="100" w:beforeAutospacing="1" w:after="100" w:afterAutospacing="1"/>
      <w:jc w:val="left"/>
    </w:pPr>
    <w:rPr>
      <w:kern w:val="0"/>
      <w:szCs w:val="24"/>
    </w:rPr>
  </w:style>
  <w:style w:type="paragraph" w:styleId="7">
    <w:name w:val="Title"/>
    <w:basedOn w:val="1"/>
    <w:next w:val="1"/>
    <w:qFormat/>
    <w:uiPriority w:val="0"/>
    <w:pPr>
      <w:widowControl w:val="0"/>
      <w:spacing w:before="240" w:after="60" w:line="276" w:lineRule="auto"/>
      <w:jc w:val="center"/>
      <w:outlineLvl w:val="0"/>
    </w:pPr>
    <w:rPr>
      <w:rFonts w:ascii="Cambria" w:hAnsi="Cambria"/>
      <w:b/>
      <w:bCs/>
      <w:kern w:val="2"/>
      <w:sz w:val="32"/>
      <w:szCs w:val="32"/>
      <w:lang w:val="en-US" w:eastAsia="zh-CN" w:bidi="ar-SA"/>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qFormat/>
    <w:uiPriority w:val="0"/>
    <w:rPr>
      <w:color w:val="0000FF"/>
      <w:u w:val="single"/>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character" w:customStyle="1" w:styleId="13">
    <w:name w:val="font31"/>
    <w:basedOn w:val="10"/>
    <w:qFormat/>
    <w:uiPriority w:val="0"/>
    <w:rPr>
      <w:rFonts w:hint="eastAsia" w:ascii="宋体" w:hAnsi="宋体" w:eastAsia="宋体" w:cs="宋体"/>
      <w:color w:val="000000"/>
      <w:sz w:val="18"/>
      <w:szCs w:val="18"/>
      <w:u w:val="none"/>
    </w:rPr>
  </w:style>
  <w:style w:type="character" w:customStyle="1" w:styleId="14">
    <w:name w:val="font41"/>
    <w:basedOn w:val="10"/>
    <w:qFormat/>
    <w:uiPriority w:val="0"/>
    <w:rPr>
      <w:rFonts w:hint="default" w:ascii="Times New Roman" w:hAnsi="Times New Roman" w:cs="Times New Roman"/>
      <w:color w:val="000000"/>
      <w:sz w:val="18"/>
      <w:szCs w:val="18"/>
      <w:u w:val="none"/>
    </w:rPr>
  </w:style>
  <w:style w:type="paragraph" w:styleId="15">
    <w:name w:val="No Spacing"/>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258</Words>
  <Characters>279</Characters>
  <Lines>0</Lines>
  <Paragraphs>0</Paragraphs>
  <TotalTime>0</TotalTime>
  <ScaleCrop>false</ScaleCrop>
  <LinksUpToDate>false</LinksUpToDate>
  <CharactersWithSpaces>280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2022-04-09T03:57:00Z</dcterms:created>
  <dc:creator>五块钱</dc:creator>
  <cp:lastModifiedBy>刘朝然</cp:lastModifiedBy>
  <dcterms:modified xsi:type="dcterms:W3CDTF">2026-02-03T02:19:59Z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D1A368E283DB4C62AB6754574CF8F5DB_13</vt:lpwstr>
  </property>
  <property fmtid="{D5CDD505-2E9C-101B-9397-08002B2CF9AE}" pid="4" name="KSOTemplateDocerSaveRecord">
    <vt:lpwstr>eyJoZGlkIjoiYWJhZTA5NTBhM2JlYTAyM2RkNjBjZWNkZmNhMzEzN2IiLCJ1c2VySWQiOiIxNDc4MjUzNDUyIn0=</vt:lpwstr>
  </property>
</Properties>
</file>