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66651C">
      <w:pPr>
        <w:pStyle w:val="2"/>
        <w:jc w:val="center"/>
        <w:rPr>
          <w:rFonts w:hint="eastAsia" w:ascii="黑体" w:eastAsia="黑体"/>
          <w:b w:val="0"/>
          <w:kern w:val="0"/>
          <w:sz w:val="24"/>
        </w:rPr>
      </w:pPr>
      <w:r>
        <w:rPr>
          <w:rFonts w:hint="eastAsia" w:ascii="黑体" w:eastAsia="黑体"/>
          <w:b w:val="0"/>
          <w:kern w:val="0"/>
          <w:sz w:val="24"/>
          <w:lang w:val="en-US" w:eastAsia="zh-CN"/>
        </w:rPr>
        <w:t>八</w:t>
      </w:r>
      <w:r>
        <w:rPr>
          <w:rFonts w:hint="eastAsia" w:ascii="黑体" w:eastAsia="黑体"/>
          <w:b w:val="0"/>
          <w:kern w:val="0"/>
          <w:sz w:val="24"/>
        </w:rPr>
        <w:t>、项目详细报价</w:t>
      </w:r>
    </w:p>
    <w:p w14:paraId="0EFD6900">
      <w:pPr>
        <w:pStyle w:val="2"/>
        <w:jc w:val="left"/>
        <w:rPr>
          <w:rFonts w:hint="eastAsia" w:asciiTheme="minorHAnsi" w:hAnsiTheme="minorHAnsi" w:eastAsiaTheme="minorEastAsia" w:cstheme="minorBidi"/>
          <w:b/>
          <w:kern w:val="2"/>
          <w:sz w:val="24"/>
          <w:szCs w:val="24"/>
          <w:lang w:val="en-US" w:eastAsia="zh-CN" w:bidi="ar-SA"/>
        </w:rPr>
      </w:pPr>
      <w:r>
        <w:rPr>
          <w:rFonts w:hint="eastAsia" w:asciiTheme="minorHAnsi" w:hAnsiTheme="minorHAnsi" w:eastAsiaTheme="minorEastAsia" w:cstheme="minorBidi"/>
          <w:b/>
          <w:kern w:val="2"/>
          <w:sz w:val="24"/>
          <w:szCs w:val="24"/>
          <w:lang w:val="en-US" w:eastAsia="zh-CN" w:bidi="ar-SA"/>
        </w:rPr>
        <w:t>（一）分项报价表</w:t>
      </w:r>
    </w:p>
    <w:tbl>
      <w:tblPr>
        <w:tblStyle w:val="4"/>
        <w:tblW w:w="804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3"/>
        <w:gridCol w:w="2820"/>
        <w:gridCol w:w="2450"/>
        <w:gridCol w:w="600"/>
      </w:tblGrid>
      <w:tr w14:paraId="00670E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173" w:type="dxa"/>
            <w:tcBorders>
              <w:top w:val="double" w:color="auto" w:sz="4" w:space="0"/>
              <w:bottom w:val="single" w:color="auto" w:sz="4" w:space="0"/>
            </w:tcBorders>
            <w:vAlign w:val="center"/>
          </w:tcPr>
          <w:p w14:paraId="3AA645DF">
            <w:pPr>
              <w:widowControl/>
              <w:adjustRightInd w:val="0"/>
              <w:snapToGrid w:val="0"/>
              <w:spacing w:line="300" w:lineRule="auto"/>
              <w:jc w:val="center"/>
              <w:rPr>
                <w:rFonts w:hint="eastAsia" w:ascii="仿宋_GB2312" w:hAnsi="仿宋_GB2312" w:eastAsia="仿宋_GB2312" w:cs="仿宋_GB2312"/>
              </w:rPr>
            </w:pPr>
            <w:r>
              <w:rPr>
                <w:rFonts w:hint="eastAsia" w:ascii="仿宋_GB2312" w:hAnsi="仿宋_GB2312" w:eastAsia="仿宋_GB2312" w:cs="仿宋_GB2312"/>
              </w:rPr>
              <w:t>项目名称</w:t>
            </w:r>
          </w:p>
        </w:tc>
        <w:tc>
          <w:tcPr>
            <w:tcW w:w="2820" w:type="dxa"/>
            <w:tcBorders>
              <w:top w:val="double" w:color="auto" w:sz="4" w:space="0"/>
              <w:bottom w:val="single" w:color="auto" w:sz="4" w:space="0"/>
            </w:tcBorders>
            <w:vAlign w:val="center"/>
          </w:tcPr>
          <w:p w14:paraId="6C91FCAC">
            <w:pPr>
              <w:widowControl/>
              <w:adjustRightInd w:val="0"/>
              <w:snapToGrid w:val="0"/>
              <w:spacing w:line="300" w:lineRule="auto"/>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工作类别</w:t>
            </w:r>
          </w:p>
        </w:tc>
        <w:tc>
          <w:tcPr>
            <w:tcW w:w="2450" w:type="dxa"/>
            <w:tcBorders>
              <w:top w:val="double" w:color="auto" w:sz="4" w:space="0"/>
              <w:bottom w:val="single" w:color="auto" w:sz="4" w:space="0"/>
            </w:tcBorders>
            <w:vAlign w:val="center"/>
          </w:tcPr>
          <w:p w14:paraId="62070E2D">
            <w:pPr>
              <w:widowControl/>
              <w:adjustRightInd w:val="0"/>
              <w:snapToGrid w:val="0"/>
              <w:spacing w:line="300" w:lineRule="auto"/>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报价</w:t>
            </w:r>
          </w:p>
          <w:p w14:paraId="4D4E81EF">
            <w:pPr>
              <w:widowControl/>
              <w:adjustRightInd w:val="0"/>
              <w:snapToGrid w:val="0"/>
              <w:spacing w:line="300" w:lineRule="auto"/>
              <w:jc w:val="center"/>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（折扣率/1-下浮率）</w:t>
            </w:r>
          </w:p>
        </w:tc>
        <w:tc>
          <w:tcPr>
            <w:tcW w:w="600" w:type="dxa"/>
            <w:tcBorders>
              <w:top w:val="double" w:color="auto" w:sz="4" w:space="0"/>
              <w:bottom w:val="single" w:color="auto" w:sz="4" w:space="0"/>
            </w:tcBorders>
            <w:vAlign w:val="center"/>
          </w:tcPr>
          <w:p w14:paraId="358E3A3F">
            <w:pPr>
              <w:widowControl/>
              <w:adjustRightInd w:val="0"/>
              <w:snapToGrid w:val="0"/>
              <w:spacing w:line="300" w:lineRule="auto"/>
              <w:jc w:val="center"/>
              <w:rPr>
                <w:rFonts w:hint="eastAsia" w:ascii="仿宋_GB2312" w:hAnsi="仿宋_GB2312" w:eastAsia="仿宋_GB2312" w:cs="仿宋_GB2312"/>
              </w:rPr>
            </w:pPr>
            <w:r>
              <w:rPr>
                <w:rFonts w:hint="eastAsia" w:ascii="仿宋_GB2312" w:hAnsi="仿宋_GB2312" w:eastAsia="仿宋_GB2312" w:cs="仿宋_GB2312"/>
              </w:rPr>
              <w:t>备注</w:t>
            </w:r>
          </w:p>
        </w:tc>
      </w:tr>
      <w:tr w14:paraId="4E4ABA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2173" w:type="dxa"/>
            <w:tcBorders>
              <w:top w:val="single" w:color="auto" w:sz="4" w:space="0"/>
            </w:tcBorders>
            <w:vAlign w:val="center"/>
          </w:tcPr>
          <w:p w14:paraId="753DC8C8">
            <w:pPr>
              <w:widowControl/>
              <w:adjustRightInd w:val="0"/>
              <w:snapToGrid w:val="0"/>
              <w:spacing w:line="300" w:lineRule="auto"/>
              <w:jc w:val="center"/>
              <w:rPr>
                <w:rFonts w:hint="eastAsia" w:ascii="仿宋_GB2312" w:hAnsi="仿宋_GB2312" w:eastAsia="仿宋_GB2312" w:cs="仿宋_GB2312"/>
              </w:rPr>
            </w:pPr>
            <w:r>
              <w:rPr>
                <w:rFonts w:hint="eastAsia" w:ascii="仿宋_GB2312" w:hAnsi="仿宋_GB2312" w:eastAsia="仿宋_GB2312" w:cs="仿宋_GB2312"/>
              </w:rPr>
              <w:t>深圳市财政局聘用社会中介机构协助财政预算评审及重点绩效评价项目</w:t>
            </w:r>
          </w:p>
        </w:tc>
        <w:tc>
          <w:tcPr>
            <w:tcW w:w="2820" w:type="dxa"/>
            <w:tcBorders>
              <w:top w:val="single" w:color="auto" w:sz="4" w:space="0"/>
            </w:tcBorders>
            <w:vAlign w:val="center"/>
          </w:tcPr>
          <w:p w14:paraId="3D1AE876">
            <w:pPr>
              <w:widowControl/>
              <w:adjustRightInd w:val="0"/>
              <w:snapToGrid w:val="0"/>
              <w:spacing w:line="300" w:lineRule="auto"/>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（此处由供应商自行填写响应的工作类别：规划设计或信息化项目造价咨询或会计服务或预算绩效咨询）</w:t>
            </w:r>
          </w:p>
        </w:tc>
        <w:tc>
          <w:tcPr>
            <w:tcW w:w="2450" w:type="dxa"/>
            <w:tcBorders>
              <w:top w:val="single" w:color="auto" w:sz="4" w:space="0"/>
            </w:tcBorders>
            <w:vAlign w:val="center"/>
          </w:tcPr>
          <w:p w14:paraId="18AF7674">
            <w:pPr>
              <w:widowControl/>
              <w:adjustRightInd w:val="0"/>
              <w:snapToGrid w:val="0"/>
              <w:spacing w:line="300" w:lineRule="auto"/>
              <w:jc w:val="center"/>
              <w:rPr>
                <w:rFonts w:hint="default" w:ascii="仿宋_GB2312" w:hAnsi="仿宋_GB2312" w:eastAsia="仿宋_GB2312" w:cs="仿宋_GB2312"/>
                <w:lang w:val="en-US" w:eastAsia="zh-CN"/>
              </w:rPr>
            </w:pP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lang w:val="en-US" w:eastAsia="zh-CN"/>
              </w:rPr>
              <w:t>%</w:t>
            </w:r>
          </w:p>
        </w:tc>
        <w:tc>
          <w:tcPr>
            <w:tcW w:w="600" w:type="dxa"/>
            <w:tcBorders>
              <w:top w:val="single" w:color="auto" w:sz="4" w:space="0"/>
            </w:tcBorders>
            <w:vAlign w:val="center"/>
          </w:tcPr>
          <w:p w14:paraId="562230F7">
            <w:pPr>
              <w:widowControl/>
              <w:adjustRightInd w:val="0"/>
              <w:snapToGrid w:val="0"/>
              <w:spacing w:line="300" w:lineRule="auto"/>
              <w:jc w:val="center"/>
              <w:rPr>
                <w:rFonts w:hint="eastAsia" w:ascii="仿宋_GB2312" w:hAnsi="仿宋_GB2312" w:eastAsia="仿宋_GB2312" w:cs="仿宋_GB2312"/>
              </w:rPr>
            </w:pPr>
          </w:p>
        </w:tc>
      </w:tr>
    </w:tbl>
    <w:p w14:paraId="51A5FA20">
      <w:pPr>
        <w:ind w:firstLine="422" w:firstLineChars="200"/>
        <w:rPr>
          <w:rFonts w:ascii="Times New Roman" w:hAnsi="Times New Roman" w:cs="Times New Roman"/>
          <w:b/>
          <w:color w:val="FF0000"/>
          <w:szCs w:val="21"/>
        </w:rPr>
      </w:pPr>
      <w:r>
        <w:rPr>
          <w:b/>
          <w:color w:val="FF0000"/>
          <w:szCs w:val="21"/>
        </w:rPr>
        <w:t>注：</w:t>
      </w:r>
      <w:r>
        <w:rPr>
          <w:rFonts w:hint="eastAsia" w:ascii="Times New Roman" w:hAnsi="Times New Roman" w:cs="Times New Roman"/>
          <w:b/>
          <w:color w:val="FF0000"/>
          <w:szCs w:val="21"/>
        </w:rPr>
        <w:t>1.本次采购不涉及具体应答金额（无须供应商在应答文件中填报具体应答金额），供应商只需填报唯一的“折扣率”，折扣率等于结算价占</w:t>
      </w:r>
      <w:r>
        <w:rPr>
          <w:rFonts w:hint="eastAsia" w:ascii="Times New Roman" w:hAnsi="Times New Roman" w:cs="Times New Roman"/>
          <w:b/>
          <w:color w:val="FF0000"/>
          <w:szCs w:val="21"/>
          <w:lang w:val="en-US" w:eastAsia="zh-CN"/>
        </w:rPr>
        <w:t>基本费率（按工作量计费标准结算时）或人员协审费用（按工作日计费标准结算时）</w:t>
      </w:r>
      <w:r>
        <w:rPr>
          <w:rFonts w:hint="eastAsia" w:ascii="Times New Roman" w:hAnsi="Times New Roman" w:cs="Times New Roman"/>
          <w:b/>
          <w:color w:val="FF0000"/>
          <w:szCs w:val="21"/>
        </w:rPr>
        <w:t>的比例，即折扣率=结算价/基准价。供应商应根据自身成本自行填报“折扣率”。</w:t>
      </w:r>
    </w:p>
    <w:p w14:paraId="1744ABC0">
      <w:pPr>
        <w:ind w:firstLine="422" w:firstLineChars="200"/>
        <w:rPr>
          <w:rFonts w:ascii="Times New Roman" w:hAnsi="Times New Roman" w:cs="Times New Roman"/>
          <w:b/>
          <w:color w:val="FF0000"/>
          <w:szCs w:val="21"/>
        </w:rPr>
      </w:pPr>
      <w:r>
        <w:rPr>
          <w:rFonts w:hint="eastAsia" w:ascii="Times New Roman" w:hAnsi="Times New Roman" w:cs="Times New Roman"/>
          <w:b/>
          <w:color w:val="FF0000"/>
          <w:szCs w:val="21"/>
        </w:rPr>
        <w:t>2.“折扣率”填写要求：</w:t>
      </w:r>
    </w:p>
    <w:p w14:paraId="2482EBC3">
      <w:pPr>
        <w:ind w:firstLine="422" w:firstLineChars="200"/>
        <w:rPr>
          <w:rFonts w:ascii="Times New Roman" w:hAnsi="Times New Roman" w:cs="Times New Roman"/>
          <w:b/>
          <w:color w:val="FF0000"/>
          <w:szCs w:val="21"/>
        </w:rPr>
      </w:pPr>
      <w:r>
        <w:rPr>
          <w:rFonts w:ascii="Times New Roman" w:hAnsi="Times New Roman" w:cs="Times New Roman"/>
          <w:b/>
          <w:color w:val="FF0000"/>
          <w:szCs w:val="21"/>
        </w:rPr>
        <w:t>（1）填写要求：0＜折扣率≤1</w:t>
      </w:r>
      <w:r>
        <w:rPr>
          <w:rFonts w:hint="eastAsia" w:ascii="Times New Roman" w:hAnsi="Times New Roman" w:cs="Times New Roman"/>
          <w:b/>
          <w:color w:val="FF0000"/>
          <w:szCs w:val="21"/>
          <w:lang w:val="en-US" w:eastAsia="zh-CN"/>
        </w:rPr>
        <w:t>00%</w:t>
      </w:r>
      <w:r>
        <w:rPr>
          <w:rFonts w:ascii="Times New Roman" w:hAnsi="Times New Roman" w:cs="Times New Roman"/>
          <w:b/>
          <w:color w:val="FF0000"/>
          <w:szCs w:val="21"/>
        </w:rPr>
        <w:t>，未按此要求填写将作</w:t>
      </w:r>
      <w:r>
        <w:rPr>
          <w:rFonts w:hint="eastAsia" w:cs="Times New Roman"/>
          <w:b/>
          <w:color w:val="FF0000"/>
          <w:szCs w:val="21"/>
          <w:lang w:val="en-US" w:eastAsia="zh-CN"/>
        </w:rPr>
        <w:t>应答</w:t>
      </w:r>
      <w:r>
        <w:rPr>
          <w:rFonts w:ascii="Times New Roman" w:hAnsi="Times New Roman" w:cs="Times New Roman"/>
          <w:b/>
          <w:color w:val="FF0000"/>
          <w:szCs w:val="21"/>
        </w:rPr>
        <w:t>无效处理；</w:t>
      </w:r>
    </w:p>
    <w:p w14:paraId="054CD695">
      <w:pPr>
        <w:ind w:firstLine="422" w:firstLineChars="200"/>
        <w:rPr>
          <w:rFonts w:hint="eastAsia" w:ascii="Times New Roman" w:hAnsi="Times New Roman" w:cs="Times New Roman" w:eastAsiaTheme="minorEastAsia"/>
          <w:b/>
          <w:color w:val="FF0000"/>
          <w:szCs w:val="21"/>
          <w:lang w:eastAsia="zh-CN"/>
        </w:rPr>
      </w:pPr>
      <w:r>
        <w:rPr>
          <w:rFonts w:ascii="Times New Roman" w:hAnsi="Times New Roman" w:cs="Times New Roman"/>
          <w:b/>
          <w:color w:val="FF0000"/>
          <w:szCs w:val="21"/>
        </w:rPr>
        <w:t>（2）填写的“折扣率”最多保留至小数点后两位；如</w:t>
      </w:r>
      <w:r>
        <w:rPr>
          <w:rFonts w:hint="eastAsia" w:ascii="Times New Roman" w:hAnsi="Times New Roman" w:cs="Times New Roman"/>
          <w:b/>
          <w:color w:val="FF0000"/>
          <w:szCs w:val="21"/>
          <w:lang w:val="en-US" w:eastAsia="zh-CN"/>
        </w:rPr>
        <w:t>98、90.25</w:t>
      </w:r>
      <w:r>
        <w:rPr>
          <w:rFonts w:ascii="Times New Roman" w:hAnsi="Times New Roman" w:cs="Times New Roman"/>
          <w:b/>
          <w:color w:val="FF0000"/>
          <w:szCs w:val="21"/>
        </w:rPr>
        <w:t>、</w:t>
      </w:r>
      <w:r>
        <w:rPr>
          <w:rFonts w:hint="eastAsia" w:ascii="Times New Roman" w:hAnsi="Times New Roman" w:cs="Times New Roman"/>
          <w:b/>
          <w:color w:val="FF0000"/>
          <w:szCs w:val="21"/>
          <w:lang w:val="en-US" w:eastAsia="zh-CN"/>
        </w:rPr>
        <w:t>95.00</w:t>
      </w:r>
      <w:r>
        <w:rPr>
          <w:rFonts w:hint="eastAsia" w:ascii="Times New Roman" w:hAnsi="Times New Roman" w:cs="Times New Roman"/>
          <w:b/>
          <w:color w:val="FF0000"/>
          <w:szCs w:val="21"/>
          <w:lang w:eastAsia="zh-CN"/>
        </w:rPr>
        <w:t>；</w:t>
      </w:r>
    </w:p>
    <w:p w14:paraId="0B544B16">
      <w:pPr>
        <w:ind w:firstLine="422" w:firstLineChars="200"/>
        <w:rPr>
          <w:rFonts w:ascii="Times New Roman" w:hAnsi="Times New Roman" w:cs="Times New Roman"/>
          <w:b/>
          <w:color w:val="FF0000"/>
          <w:szCs w:val="21"/>
        </w:rPr>
      </w:pPr>
      <w:r>
        <w:rPr>
          <w:rFonts w:hint="eastAsia" w:ascii="Times New Roman" w:hAnsi="Times New Roman" w:cs="Times New Roman"/>
          <w:b/>
          <w:color w:val="FF0000"/>
          <w:szCs w:val="21"/>
        </w:rPr>
        <w:t>（3）供应商参与应答只允许填报一个“折扣率”，不允许填报2个（或以上）的“折扣率”；填报了2个或以上“折扣率”的，其应答将直接作无效处理；</w:t>
      </w:r>
    </w:p>
    <w:p w14:paraId="4E7FA309">
      <w:pPr>
        <w:ind w:firstLine="422" w:firstLineChars="200"/>
        <w:rPr>
          <w:rFonts w:ascii="Times New Roman" w:hAnsi="Times New Roman" w:cs="Times New Roman"/>
          <w:b/>
          <w:color w:val="FF0000"/>
          <w:szCs w:val="21"/>
        </w:rPr>
      </w:pPr>
      <w:r>
        <w:rPr>
          <w:rFonts w:hint="eastAsia" w:ascii="Times New Roman" w:hAnsi="Times New Roman" w:cs="Times New Roman"/>
          <w:b/>
          <w:color w:val="FF0000"/>
          <w:szCs w:val="21"/>
        </w:rPr>
        <w:t>（4）“折扣率”缺填、漏填将直接作应答无效处理。</w:t>
      </w:r>
    </w:p>
    <w:p w14:paraId="5B9F27C9">
      <w:pPr>
        <w:ind w:firstLine="422" w:firstLineChars="200"/>
        <w:rPr>
          <w:rFonts w:hint="eastAsia" w:ascii="Times New Roman" w:hAnsi="Times New Roman" w:cs="Times New Roman"/>
          <w:b/>
          <w:color w:val="FF0000"/>
          <w:szCs w:val="21"/>
        </w:rPr>
      </w:pPr>
      <w:r>
        <w:rPr>
          <w:rFonts w:hint="eastAsia" w:ascii="Times New Roman" w:hAnsi="Times New Roman" w:cs="Times New Roman"/>
          <w:b/>
          <w:color w:val="FF0000"/>
          <w:szCs w:val="21"/>
        </w:rPr>
        <w:t>（5）</w:t>
      </w:r>
      <w:r>
        <w:rPr>
          <w:rFonts w:hint="eastAsia" w:ascii="Times New Roman" w:hAnsi="Times New Roman" w:cs="Times New Roman"/>
          <w:b/>
          <w:color w:val="FF0000"/>
          <w:szCs w:val="21"/>
          <w:lang w:val="en-US" w:eastAsia="zh-CN"/>
        </w:rPr>
        <w:t>入围</w:t>
      </w:r>
      <w:r>
        <w:rPr>
          <w:rFonts w:hint="eastAsia" w:ascii="Times New Roman" w:hAnsi="Times New Roman" w:cs="Times New Roman"/>
          <w:b/>
          <w:color w:val="FF0000"/>
          <w:szCs w:val="21"/>
        </w:rPr>
        <w:t>供应商的应答折扣率作为本项目签订合同的依据，并根据实际</w:t>
      </w:r>
      <w:r>
        <w:rPr>
          <w:rFonts w:hint="eastAsia" w:ascii="Times New Roman" w:hAnsi="Times New Roman" w:cs="Times New Roman"/>
          <w:b/>
          <w:color w:val="FF0000"/>
          <w:szCs w:val="21"/>
          <w:lang w:val="en-US" w:eastAsia="zh-CN"/>
        </w:rPr>
        <w:t>工作</w:t>
      </w:r>
      <w:r>
        <w:rPr>
          <w:rFonts w:hint="eastAsia" w:ascii="Times New Roman" w:hAnsi="Times New Roman" w:cs="Times New Roman"/>
          <w:b/>
          <w:color w:val="FF0000"/>
          <w:szCs w:val="21"/>
        </w:rPr>
        <w:t>量进行结算。请供应商根据市场价格的波动情况审慎报价，一经成交，将严格按照</w:t>
      </w:r>
      <w:r>
        <w:rPr>
          <w:rFonts w:hint="eastAsia" w:ascii="Times New Roman" w:hAnsi="Times New Roman" w:cs="Times New Roman"/>
          <w:b/>
          <w:color w:val="FF0000"/>
          <w:szCs w:val="21"/>
          <w:lang w:val="en-US" w:eastAsia="zh-CN"/>
        </w:rPr>
        <w:t>入围</w:t>
      </w:r>
      <w:r>
        <w:rPr>
          <w:rFonts w:hint="eastAsia" w:ascii="Times New Roman" w:hAnsi="Times New Roman" w:cs="Times New Roman"/>
          <w:b/>
          <w:color w:val="FF0000"/>
          <w:szCs w:val="21"/>
        </w:rPr>
        <w:t>供应商所报折扣率执行，请勿乱报价。如因乱报价导致的不良后果，由</w:t>
      </w:r>
      <w:r>
        <w:rPr>
          <w:rFonts w:hint="eastAsia" w:ascii="Times New Roman" w:hAnsi="Times New Roman" w:cs="Times New Roman"/>
          <w:b/>
          <w:color w:val="FF0000"/>
          <w:szCs w:val="21"/>
          <w:lang w:val="en-US" w:eastAsia="zh-CN"/>
        </w:rPr>
        <w:t>入围</w:t>
      </w:r>
      <w:r>
        <w:rPr>
          <w:rFonts w:hint="eastAsia" w:ascii="Times New Roman" w:hAnsi="Times New Roman" w:cs="Times New Roman"/>
          <w:b/>
          <w:color w:val="FF0000"/>
          <w:szCs w:val="21"/>
        </w:rPr>
        <w:t>供应商承担全部责任，并可能影响其以后参加政府采购的项目。供应商在</w:t>
      </w:r>
      <w:r>
        <w:rPr>
          <w:rFonts w:hint="eastAsia" w:ascii="Times New Roman" w:hAnsi="Times New Roman" w:cs="Times New Roman"/>
          <w:b/>
          <w:color w:val="FF0000"/>
          <w:szCs w:val="21"/>
          <w:lang w:val="en-US" w:eastAsia="zh-CN"/>
        </w:rPr>
        <w:t>响应</w:t>
      </w:r>
      <w:r>
        <w:rPr>
          <w:rFonts w:hint="eastAsia" w:ascii="Times New Roman" w:hAnsi="Times New Roman" w:cs="Times New Roman"/>
          <w:b/>
          <w:color w:val="FF0000"/>
          <w:szCs w:val="21"/>
        </w:rPr>
        <w:t>报价时，应充分考虑</w:t>
      </w:r>
      <w:r>
        <w:rPr>
          <w:rFonts w:hint="eastAsia" w:ascii="Times New Roman" w:hAnsi="Times New Roman" w:cs="Times New Roman"/>
          <w:b/>
          <w:color w:val="FF0000"/>
          <w:szCs w:val="21"/>
          <w:lang w:val="en-US" w:eastAsia="zh-CN"/>
        </w:rPr>
        <w:t>响应</w:t>
      </w:r>
      <w:r>
        <w:rPr>
          <w:rFonts w:hint="eastAsia" w:ascii="Times New Roman" w:hAnsi="Times New Roman" w:cs="Times New Roman"/>
          <w:b/>
          <w:color w:val="FF0000"/>
          <w:szCs w:val="21"/>
        </w:rPr>
        <w:t>报价的风险。</w:t>
      </w:r>
    </w:p>
    <w:p w14:paraId="1662CD21">
      <w:pPr>
        <w:ind w:firstLine="422" w:firstLineChars="200"/>
        <w:rPr>
          <w:rFonts w:hint="eastAsia" w:ascii="Times New Roman" w:hAnsi="Times New Roman" w:cs="Times New Roman"/>
          <w:b/>
          <w:color w:val="FF0000"/>
          <w:szCs w:val="21"/>
        </w:rPr>
      </w:pPr>
      <w:r>
        <w:rPr>
          <w:rFonts w:hint="eastAsia" w:ascii="Times New Roman" w:hAnsi="Times New Roman" w:cs="Times New Roman"/>
          <w:b/>
          <w:color w:val="FF0000"/>
          <w:szCs w:val="21"/>
        </w:rPr>
        <w:t>（6）此处填写的折扣率需与在</w:t>
      </w:r>
      <w:r>
        <w:rPr>
          <w:rFonts w:hint="eastAsia" w:ascii="Times New Roman" w:hAnsi="Times New Roman" w:cs="Times New Roman"/>
          <w:b/>
          <w:color w:val="FF0000"/>
          <w:szCs w:val="21"/>
          <w:lang w:val="en-US" w:eastAsia="zh-CN"/>
        </w:rPr>
        <w:t>框架协议</w:t>
      </w:r>
      <w:r>
        <w:rPr>
          <w:rFonts w:hint="eastAsia" w:ascii="Times New Roman" w:hAnsi="Times New Roman" w:cs="Times New Roman"/>
          <w:b/>
          <w:color w:val="FF0000"/>
          <w:szCs w:val="21"/>
        </w:rPr>
        <w:t xml:space="preserve">采购系统中填写的一致。 </w:t>
      </w:r>
    </w:p>
    <w:p w14:paraId="78EB3D7B">
      <w:pPr>
        <w:tabs>
          <w:tab w:val="left" w:pos="720"/>
        </w:tabs>
        <w:jc w:val="both"/>
        <w:rPr>
          <w:rFonts w:hint="eastAsia"/>
          <w:b/>
          <w:sz w:val="24"/>
          <w:lang w:eastAsia="zh-CN"/>
        </w:rPr>
      </w:pPr>
    </w:p>
    <w:p w14:paraId="7A43FCDF">
      <w:pPr>
        <w:tabs>
          <w:tab w:val="left" w:pos="720"/>
        </w:tabs>
        <w:jc w:val="both"/>
        <w:rPr>
          <w:b/>
          <w:sz w:val="24"/>
        </w:rPr>
      </w:pPr>
      <w:r>
        <w:rPr>
          <w:rFonts w:hint="eastAsia"/>
          <w:b/>
          <w:sz w:val="24"/>
          <w:lang w:eastAsia="zh-CN"/>
        </w:rPr>
        <w:t>（</w:t>
      </w:r>
      <w:r>
        <w:rPr>
          <w:rFonts w:hint="eastAsia"/>
          <w:b/>
          <w:sz w:val="24"/>
          <w:lang w:val="en-US" w:eastAsia="zh-CN"/>
        </w:rPr>
        <w:t>二</w:t>
      </w:r>
      <w:r>
        <w:rPr>
          <w:rFonts w:hint="eastAsia"/>
          <w:b/>
          <w:sz w:val="24"/>
          <w:lang w:eastAsia="zh-CN"/>
        </w:rPr>
        <w:t>）</w:t>
      </w:r>
      <w:r>
        <w:rPr>
          <w:rFonts w:hint="eastAsia"/>
          <w:b/>
          <w:sz w:val="24"/>
          <w:lang w:val="en-US" w:eastAsia="zh-CN"/>
        </w:rPr>
        <w:t>供应商</w:t>
      </w:r>
      <w:r>
        <w:rPr>
          <w:rFonts w:hint="eastAsia"/>
          <w:b/>
          <w:sz w:val="24"/>
        </w:rPr>
        <w:t>认为需要涉及的其他内容报价清单</w:t>
      </w:r>
    </w:p>
    <w:p w14:paraId="0A5D31A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58451A"/>
    <w:rsid w:val="64584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3"/>
    <w:next w:val="1"/>
    <w:qFormat/>
    <w:uiPriority w:val="9"/>
    <w:pPr>
      <w:spacing w:before="260" w:after="260" w:line="240" w:lineRule="auto"/>
      <w:outlineLvl w:val="2"/>
    </w:pPr>
    <w:rPr>
      <w:rFonts w:ascii="宋体" w:hAnsi="宋体" w:eastAsia="宋体"/>
      <w:szCs w:val="32"/>
    </w:rPr>
  </w:style>
  <w:style w:type="paragraph" w:styleId="3">
    <w:name w:val="heading 4"/>
    <w:basedOn w:val="1"/>
    <w:next w:val="1"/>
    <w:qFormat/>
    <w:uiPriority w:val="9"/>
    <w:pPr>
      <w:keepNext/>
      <w:keepLines/>
      <w:spacing w:before="280" w:after="290" w:line="376" w:lineRule="auto"/>
      <w:outlineLvl w:val="3"/>
    </w:pPr>
    <w:rPr>
      <w:rFonts w:ascii="Arial" w:hAnsi="Arial" w:eastAsia="黑体"/>
      <w:b/>
      <w:bCs/>
      <w:sz w:val="28"/>
      <w:szCs w:val="28"/>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2026-06-11T08:15:00Z</dcterms:created>
  <dc:creator>三三·alter</dc:creator>
  <cp:lastModifiedBy>三三·alter</cp:lastModifiedBy>
  <dcterms:modified xsi:type="dcterms:W3CDTF">2026-06-11T08:15:47Z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363E6E241EFA41B994E875C5C3543A20_11</vt:lpwstr>
  </property>
  <property fmtid="{D5CDD505-2E9C-101B-9397-08002B2CF9AE}" pid="4" name="KSOTemplateDocerSaveRecord">
    <vt:lpwstr>eyJoZGlkIjoiMGExNDVhMjNlM2UyZjFiMjhkMzdjODAzZTk4YTczNTUiLCJ1c2VySWQiOiIxOTMyODg2ODcifQ==</vt:lpwstr>
  </property>
</Properties>
</file>