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11689">
      <w:pPr>
        <w:jc w:val="center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  <w:lang w:val="en-US" w:eastAsia="zh-CN"/>
        </w:rPr>
        <w:t>商务要求偏离表</w:t>
      </w:r>
    </w:p>
    <w:p w14:paraId="5409BC0D">
      <w:pPr>
        <w:pStyle w:val="6"/>
        <w:jc w:val="both"/>
        <w:rPr>
          <w:rFonts w:ascii="仿宋_GB2312" w:hAnsi="仿宋_GB2312" w:eastAsia="仿宋_GB2312" w:cs="仿宋_GB2312"/>
        </w:rPr>
      </w:pPr>
    </w:p>
    <w:tbl>
      <w:tblPr>
        <w:tblStyle w:val="4"/>
        <w:tblW w:w="8747" w:type="dxa"/>
        <w:tblInd w:w="-2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187"/>
        <w:gridCol w:w="4559"/>
        <w:gridCol w:w="1148"/>
        <w:gridCol w:w="1173"/>
      </w:tblGrid>
      <w:tr w14:paraId="3DA30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68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80D998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序号</w:t>
            </w:r>
          </w:p>
        </w:tc>
        <w:tc>
          <w:tcPr>
            <w:tcW w:w="118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23DE44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类型</w:t>
            </w:r>
          </w:p>
        </w:tc>
        <w:tc>
          <w:tcPr>
            <w:tcW w:w="455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6F5035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要求</w:t>
            </w:r>
          </w:p>
        </w:tc>
        <w:tc>
          <w:tcPr>
            <w:tcW w:w="114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B07C5D">
            <w:pPr>
              <w:pStyle w:val="6"/>
              <w:jc w:val="both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偏离情况</w:t>
            </w:r>
          </w:p>
        </w:tc>
        <w:tc>
          <w:tcPr>
            <w:tcW w:w="117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E97972">
            <w:pPr>
              <w:pStyle w:val="6"/>
              <w:jc w:val="both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说明</w:t>
            </w:r>
          </w:p>
        </w:tc>
      </w:tr>
      <w:tr w14:paraId="2744C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BCDDA6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1</w:t>
            </w:r>
          </w:p>
        </w:tc>
        <w:tc>
          <w:tcPr>
            <w:tcW w:w="118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62F3F3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支付方式</w:t>
            </w:r>
          </w:p>
        </w:tc>
        <w:tc>
          <w:tcPr>
            <w:tcW w:w="455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5E0CC6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一次付清或多次付清。</w:t>
            </w:r>
          </w:p>
        </w:tc>
        <w:tc>
          <w:tcPr>
            <w:tcW w:w="114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8C532F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  <w:tc>
          <w:tcPr>
            <w:tcW w:w="117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77EB48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</w:tr>
      <w:tr w14:paraId="6F12C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D8115E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2</w:t>
            </w:r>
          </w:p>
        </w:tc>
        <w:tc>
          <w:tcPr>
            <w:tcW w:w="118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711877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交货期限</w:t>
            </w:r>
          </w:p>
        </w:tc>
        <w:tc>
          <w:tcPr>
            <w:tcW w:w="455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9A0145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不多于</w:t>
            </w:r>
            <w:r>
              <w:rPr>
                <w:rFonts w:ascii="仿宋_GB2312" w:hAnsi="仿宋_GB2312" w:eastAsia="仿宋_GB2312" w:cs="仿宋_GB2312"/>
                <w:sz w:val="19"/>
              </w:rPr>
              <w:t>7个工作日内完成交货，采购双方协商一致的除外。</w:t>
            </w:r>
          </w:p>
        </w:tc>
        <w:tc>
          <w:tcPr>
            <w:tcW w:w="114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D0514B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  <w:tc>
          <w:tcPr>
            <w:tcW w:w="117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EE9010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</w:tr>
      <w:tr w14:paraId="2515D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E21544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3</w:t>
            </w:r>
          </w:p>
        </w:tc>
        <w:tc>
          <w:tcPr>
            <w:tcW w:w="118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7593AC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交货的地域范围</w:t>
            </w:r>
          </w:p>
        </w:tc>
        <w:tc>
          <w:tcPr>
            <w:tcW w:w="455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87B845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深圳市</w:t>
            </w: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,包含</w:t>
            </w:r>
            <w:r>
              <w:rPr>
                <w:rFonts w:ascii="仿宋_GB2312" w:hAnsi="仿宋_GB2312" w:eastAsia="仿宋_GB2312" w:cs="仿宋_GB2312"/>
                <w:sz w:val="19"/>
              </w:rPr>
              <w:t>市本级、罗湖区、福田区、南山区、宝安区、龙岗区、盐田区、龙华区、坪山区、光明区、大鹏新区、深汕特别行政区。</w:t>
            </w:r>
          </w:p>
        </w:tc>
        <w:tc>
          <w:tcPr>
            <w:tcW w:w="114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4ADACD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  <w:tc>
          <w:tcPr>
            <w:tcW w:w="117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AEC5F8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</w:tr>
      <w:tr w14:paraId="79A33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74677F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4</w:t>
            </w:r>
          </w:p>
        </w:tc>
        <w:tc>
          <w:tcPr>
            <w:tcW w:w="118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0A2229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产品升级换代规则</w:t>
            </w:r>
          </w:p>
        </w:tc>
        <w:tc>
          <w:tcPr>
            <w:tcW w:w="455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6D5A63">
            <w:pPr>
              <w:pStyle w:val="6"/>
              <w:jc w:val="both"/>
            </w:pPr>
            <w:r>
              <w:rPr>
                <w:rFonts w:ascii="仿宋_GB2312" w:hAnsi="仿宋_GB2312" w:eastAsia="仿宋_GB2312" w:cs="仿宋_GB2312"/>
                <w:sz w:val="19"/>
              </w:rPr>
              <w:t>支持。</w:t>
            </w:r>
          </w:p>
          <w:p w14:paraId="1B0FC010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因产品升级换代，在质量不降低、价格不提高的前提下，入围供应商可用新产品替代原入围产品，由征集人对该情形进行审核。若产品市场价格下降，入围供应商应及时下调产品价格。</w:t>
            </w:r>
          </w:p>
        </w:tc>
        <w:tc>
          <w:tcPr>
            <w:tcW w:w="114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90FB18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  <w:bookmarkStart w:id="0" w:name="_GoBack"/>
            <w:bookmarkEnd w:id="0"/>
          </w:p>
        </w:tc>
        <w:tc>
          <w:tcPr>
            <w:tcW w:w="117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F773B1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</w:tr>
      <w:tr w14:paraId="311A4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1DD672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5</w:t>
            </w:r>
          </w:p>
        </w:tc>
        <w:tc>
          <w:tcPr>
            <w:tcW w:w="118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B39EC6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支付时间和条件</w:t>
            </w:r>
          </w:p>
        </w:tc>
        <w:tc>
          <w:tcPr>
            <w:tcW w:w="455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A52877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采购人采取“刷公务采购卡”“转账”等方式付款，在满足合同约定支付条件情况下，采购人应当及时支付货款。</w:t>
            </w:r>
          </w:p>
        </w:tc>
        <w:tc>
          <w:tcPr>
            <w:tcW w:w="114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EADDC0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  <w:tc>
          <w:tcPr>
            <w:tcW w:w="117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EC93E9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</w:tr>
      <w:tr w14:paraId="2D694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203B60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6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37782C">
            <w:pPr>
              <w:pStyle w:val="6"/>
              <w:jc w:val="both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售后服务</w:t>
            </w:r>
          </w:p>
        </w:tc>
        <w:tc>
          <w:tcPr>
            <w:tcW w:w="455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3F6886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供应商须提供</w:t>
            </w:r>
            <w:r>
              <w:rPr>
                <w:rFonts w:hint="eastAsia" w:ascii="仿宋_GB2312" w:hAnsi="仿宋_GB2312" w:eastAsia="仿宋_GB2312" w:cs="仿宋_GB2312"/>
                <w:sz w:val="19"/>
                <w:highlight w:val="none"/>
                <w:lang w:val="en-US" w:eastAsia="zh-CN"/>
              </w:rPr>
              <w:t>扫描仪</w:t>
            </w:r>
            <w:r>
              <w:rPr>
                <w:rFonts w:ascii="仿宋_GB2312" w:hAnsi="仿宋_GB2312" w:eastAsia="仿宋_GB2312" w:cs="仿宋_GB2312"/>
                <w:sz w:val="19"/>
              </w:rPr>
              <w:t>免费送货上门，免费安装服务，售后服务标准不得低于投标（响应）产品出厂市场服务标准。</w:t>
            </w:r>
          </w:p>
        </w:tc>
        <w:tc>
          <w:tcPr>
            <w:tcW w:w="114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2D9E9B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1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24DA61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</w:p>
        </w:tc>
      </w:tr>
      <w:tr w14:paraId="629AA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81425C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7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3718A1">
            <w:pPr>
              <w:pStyle w:val="6"/>
              <w:jc w:val="both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报价要求</w:t>
            </w:r>
          </w:p>
        </w:tc>
        <w:tc>
          <w:tcPr>
            <w:tcW w:w="455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E1F230">
            <w:pPr>
              <w:pStyle w:val="6"/>
              <w:jc w:val="both"/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 xml:space="preserve">7.1 </w:t>
            </w:r>
            <w:r>
              <w:rPr>
                <w:rFonts w:ascii="仿宋_GB2312" w:hAnsi="仿宋_GB2312" w:eastAsia="仿宋_GB2312" w:cs="仿宋_GB2312"/>
                <w:sz w:val="19"/>
              </w:rPr>
              <w:t>供应商报价的产品技术和参数必须符合本项目要求</w:t>
            </w:r>
            <w:r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  <w:t>；</w:t>
            </w:r>
          </w:p>
          <w:p w14:paraId="6C47FEFD">
            <w:pPr>
              <w:pStyle w:val="6"/>
              <w:jc w:val="both"/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 xml:space="preserve">7.2 </w:t>
            </w:r>
            <w:r>
              <w:rPr>
                <w:rFonts w:ascii="仿宋_GB2312" w:hAnsi="仿宋_GB2312" w:eastAsia="仿宋_GB2312" w:cs="仿宋_GB2312"/>
                <w:sz w:val="19"/>
              </w:rPr>
              <w:t>以每个产品（含自带原装耗材）单价进行报价</w:t>
            </w:r>
            <w:r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  <w:t>；</w:t>
            </w:r>
          </w:p>
          <w:p w14:paraId="57F0DBD4">
            <w:pPr>
              <w:pStyle w:val="6"/>
              <w:jc w:val="both"/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 xml:space="preserve">7.3 </w:t>
            </w:r>
            <w:r>
              <w:rPr>
                <w:rFonts w:ascii="仿宋_GB2312" w:hAnsi="仿宋_GB2312" w:eastAsia="仿宋_GB2312" w:cs="仿宋_GB2312"/>
                <w:sz w:val="19"/>
              </w:rPr>
              <w:t>报价除包含货款外，还应包含但不限于产品运输、仓储、采购、生产、安装、抽样检测报检、售后服务以及人工、物耗、培训、税金等全部相关工作所有可能发生的费用，即总报价</w:t>
            </w:r>
            <w:r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  <w:t>；</w:t>
            </w:r>
          </w:p>
          <w:p w14:paraId="1E735836">
            <w:pPr>
              <w:pStyle w:val="6"/>
              <w:jc w:val="both"/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7.4 供应商在报价时应考虑可能发生的其他费用（如材料涨价、人工和运输成本增加等因素）；</w:t>
            </w:r>
          </w:p>
          <w:p w14:paraId="5FB7B5CB">
            <w:pPr>
              <w:pStyle w:val="6"/>
              <w:jc w:val="both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7.5 对本文件未列明，而供应商认为必需的费用也需列入报价。采购合同实施时，采购人将不予支付供应商没有列入的项目费用，并认为此项目的费用已包含在本次报价中。</w:t>
            </w:r>
          </w:p>
        </w:tc>
        <w:tc>
          <w:tcPr>
            <w:tcW w:w="114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4739C7">
            <w:pPr>
              <w:pStyle w:val="6"/>
              <w:jc w:val="both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1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3E9248">
            <w:pPr>
              <w:pStyle w:val="6"/>
              <w:jc w:val="both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</w:p>
        </w:tc>
      </w:tr>
      <w:tr w14:paraId="0986B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4504B3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8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30FC7D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  <w:t>维修响应及故障解决时间</w:t>
            </w:r>
          </w:p>
        </w:tc>
        <w:tc>
          <w:tcPr>
            <w:tcW w:w="455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D5E0F6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提供政企专线7*24在线服务，</w:t>
            </w: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不多于</w:t>
            </w:r>
            <w:r>
              <w:rPr>
                <w:rFonts w:ascii="仿宋_GB2312" w:hAnsi="仿宋_GB2312" w:eastAsia="仿宋_GB2312" w:cs="仿宋_GB2312"/>
                <w:sz w:val="19"/>
              </w:rPr>
              <w:t>2h</w:t>
            </w: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内</w:t>
            </w:r>
            <w:r>
              <w:rPr>
                <w:rFonts w:ascii="仿宋_GB2312" w:hAnsi="仿宋_GB2312" w:eastAsia="仿宋_GB2312" w:cs="仿宋_GB2312"/>
                <w:sz w:val="19"/>
              </w:rPr>
              <w:t>电话响应，</w:t>
            </w: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不多于</w:t>
            </w:r>
            <w:r>
              <w:rPr>
                <w:rFonts w:ascii="仿宋_GB2312" w:hAnsi="仿宋_GB2312" w:eastAsia="仿宋_GB2312" w:cs="仿宋_GB2312"/>
                <w:sz w:val="19"/>
              </w:rPr>
              <w:t>2个工作日</w:t>
            </w: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内</w:t>
            </w:r>
            <w:r>
              <w:rPr>
                <w:rFonts w:ascii="仿宋_GB2312" w:hAnsi="仿宋_GB2312" w:eastAsia="仿宋_GB2312" w:cs="仿宋_GB2312"/>
                <w:sz w:val="19"/>
              </w:rPr>
              <w:t>解决问题，对于未能解决的问题和故障应提供可行的升级方案，并提供周转设备或更换设备。服务周期内提供产品的维修、换件和升级服务。</w:t>
            </w:r>
          </w:p>
        </w:tc>
        <w:tc>
          <w:tcPr>
            <w:tcW w:w="114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DBA8E0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1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75BBAE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</w:p>
        </w:tc>
      </w:tr>
      <w:tr w14:paraId="1980D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7AEF75">
            <w:pPr>
              <w:pStyle w:val="6"/>
              <w:jc w:val="both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9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60828A">
            <w:pPr>
              <w:pStyle w:val="6"/>
              <w:jc w:val="both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库存管理</w:t>
            </w:r>
          </w:p>
        </w:tc>
        <w:tc>
          <w:tcPr>
            <w:tcW w:w="455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50373B">
            <w:pPr>
              <w:pStyle w:val="6"/>
              <w:jc w:val="both"/>
              <w:rPr>
                <w:rFonts w:hint="eastAsia" w:ascii="仿宋_GB2312" w:hAnsi="仿宋_GB2312" w:cs="仿宋_GB2312" w:eastAsiaTheme="minorEastAsia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因库存维护不及时、价格维护不及时而影响采购人下单的，自愿接受征集人按本征集文件及相关规定进行处理。</w:t>
            </w:r>
          </w:p>
        </w:tc>
        <w:tc>
          <w:tcPr>
            <w:tcW w:w="114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B46F85">
            <w:pPr>
              <w:pStyle w:val="6"/>
              <w:jc w:val="both"/>
              <w:rPr>
                <w:color w:val="FF0000"/>
              </w:rPr>
            </w:pPr>
          </w:p>
        </w:tc>
        <w:tc>
          <w:tcPr>
            <w:tcW w:w="11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931076">
            <w:pPr>
              <w:pStyle w:val="6"/>
              <w:jc w:val="both"/>
              <w:rPr>
                <w:color w:val="FF0000"/>
              </w:rPr>
            </w:pPr>
          </w:p>
        </w:tc>
      </w:tr>
      <w:tr w14:paraId="4A85D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C5D035">
            <w:pPr>
              <w:pStyle w:val="6"/>
              <w:jc w:val="both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18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652C14">
            <w:pPr>
              <w:pStyle w:val="6"/>
              <w:jc w:val="both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其他</w:t>
            </w:r>
          </w:p>
        </w:tc>
        <w:tc>
          <w:tcPr>
            <w:tcW w:w="455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BEB6B6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1</w:t>
            </w:r>
            <w:r>
              <w:rPr>
                <w:rFonts w:ascii="仿宋_GB2312" w:hAnsi="仿宋_GB2312" w:eastAsia="仿宋_GB2312" w:cs="仿宋_GB2312"/>
                <w:sz w:val="19"/>
              </w:rPr>
              <w:t>.供应商投标（响应）的货物须符合国家相关产业政策，合法销售、原厂原装、全新正品，符合国家三包政策；</w:t>
            </w:r>
          </w:p>
          <w:p w14:paraId="529F19C3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2</w:t>
            </w:r>
            <w:r>
              <w:rPr>
                <w:rFonts w:ascii="仿宋_GB2312" w:hAnsi="仿宋_GB2312" w:eastAsia="仿宋_GB2312" w:cs="仿宋_GB2312"/>
                <w:sz w:val="19"/>
              </w:rPr>
              <w:t>.在框架协议期间，入围产品价格为合同授予阶段最高限价，不得上调；</w:t>
            </w:r>
          </w:p>
          <w:p w14:paraId="5939BB9D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3</w:t>
            </w:r>
            <w:r>
              <w:rPr>
                <w:rFonts w:ascii="仿宋_GB2312" w:hAnsi="仿宋_GB2312" w:eastAsia="仿宋_GB2312" w:cs="仿宋_GB2312"/>
                <w:sz w:val="19"/>
              </w:rPr>
              <w:t>.若入围价格过高，征集人有权要求供应商下调产品价格；</w:t>
            </w:r>
          </w:p>
          <w:p w14:paraId="0C0F8A7D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4</w:t>
            </w:r>
            <w:r>
              <w:rPr>
                <w:rFonts w:ascii="仿宋_GB2312" w:hAnsi="仿宋_GB2312" w:eastAsia="仿宋_GB2312" w:cs="仿宋_GB2312"/>
                <w:sz w:val="19"/>
              </w:rPr>
              <w:t>.供应商投标（响应）产品须符合国家有关质量技术标准及相关法律、法规规定的要求。</w:t>
            </w:r>
          </w:p>
          <w:p w14:paraId="3D689085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5.供应商在协议期内不能按期供货经查证属实的，须按涉单金额的1%向国库上缴违约金，拒不缴纳前述违约金或存在其他严重情节的，征集人将报送财政主管部门，由财政主管部门依据《深圳经济特区政府采购条例实施细则》第八十条的规定依法予以处理。</w:t>
            </w:r>
          </w:p>
        </w:tc>
        <w:tc>
          <w:tcPr>
            <w:tcW w:w="114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6FC884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17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155193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</w:tr>
    </w:tbl>
    <w:p w14:paraId="0590F8E0">
      <w:pPr>
        <w:pStyle w:val="6"/>
        <w:jc w:val="both"/>
        <w:rPr>
          <w:rFonts w:hint="eastAsia" w:ascii="宋体" w:hAnsi="宋体" w:eastAsia="宋体" w:cs="宋体"/>
          <w:b/>
          <w:bCs/>
          <w:color w:val="FF0000"/>
        </w:rPr>
      </w:pPr>
      <w:r>
        <w:rPr>
          <w:rFonts w:hint="eastAsia" w:ascii="宋体" w:hAnsi="宋体" w:eastAsia="宋体" w:cs="宋体"/>
          <w:b/>
          <w:bCs/>
          <w:color w:val="FF0000"/>
        </w:rPr>
        <w:t>《商务要求偏离表》编制指引：</w:t>
      </w:r>
    </w:p>
    <w:p w14:paraId="35649812">
      <w:pPr>
        <w:pStyle w:val="6"/>
        <w:jc w:val="both"/>
        <w:rPr>
          <w:rFonts w:hint="eastAsia" w:ascii="宋体" w:hAnsi="宋体" w:eastAsia="宋体" w:cs="宋体"/>
          <w:b/>
          <w:bCs/>
          <w:color w:val="FF0000"/>
        </w:rPr>
      </w:pPr>
      <w:r>
        <w:rPr>
          <w:rFonts w:hint="eastAsia" w:ascii="宋体" w:hAnsi="宋体" w:eastAsia="宋体" w:cs="宋体"/>
          <w:b/>
          <w:bCs/>
          <w:color w:val="FF0000"/>
        </w:rPr>
        <w:t>1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.</w:t>
      </w:r>
      <w:r>
        <w:rPr>
          <w:rFonts w:hint="eastAsia" w:ascii="宋体" w:hAnsi="宋体" w:eastAsia="宋体" w:cs="宋体"/>
          <w:b/>
          <w:bCs/>
          <w:color w:val="FF0000"/>
        </w:rPr>
        <w:t>商务要求偏离表的序号、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类型、</w:t>
      </w:r>
      <w:r>
        <w:rPr>
          <w:rFonts w:hint="eastAsia" w:ascii="宋体" w:hAnsi="宋体" w:eastAsia="宋体" w:cs="宋体"/>
          <w:b/>
          <w:bCs/>
          <w:color w:val="FF0000"/>
        </w:rPr>
        <w:t>要求等栏目对应“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采购需求</w:t>
      </w:r>
      <w:r>
        <w:rPr>
          <w:rFonts w:hint="eastAsia" w:ascii="宋体" w:hAnsi="宋体" w:eastAsia="宋体" w:cs="宋体"/>
          <w:b/>
          <w:bCs/>
          <w:color w:val="FF0000"/>
        </w:rPr>
        <w:t>”中的“商务要求”章节相关内容。</w:t>
      </w:r>
    </w:p>
    <w:p w14:paraId="661CB855">
      <w:pPr>
        <w:pStyle w:val="6"/>
        <w:jc w:val="both"/>
        <w:rPr>
          <w:rFonts w:hint="eastAsia" w:ascii="宋体" w:hAnsi="宋体" w:eastAsia="宋体" w:cs="宋体"/>
          <w:b/>
          <w:bCs/>
          <w:color w:val="FF0000"/>
        </w:rPr>
      </w:pP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color w:val="FF0000"/>
        </w:rPr>
        <w:t>“偏离情况”一栏如实填写“正偏离”、“负偏离”或“无偏离”，其中：“正偏离”表示“投标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</w:rPr>
        <w:t>响应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FF0000"/>
        </w:rPr>
        <w:t>优于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征集文件</w:t>
      </w:r>
      <w:r>
        <w:rPr>
          <w:rFonts w:hint="eastAsia" w:ascii="宋体" w:hAnsi="宋体" w:eastAsia="宋体" w:cs="宋体"/>
          <w:b/>
          <w:bCs/>
          <w:color w:val="FF0000"/>
        </w:rPr>
        <w:t>商务要求”，“负偏离”表示“投标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</w:rPr>
        <w:t>响应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FF0000"/>
        </w:rPr>
        <w:t>不满足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征集文件</w:t>
      </w:r>
      <w:r>
        <w:rPr>
          <w:rFonts w:hint="eastAsia" w:ascii="宋体" w:hAnsi="宋体" w:eastAsia="宋体" w:cs="宋体"/>
          <w:b/>
          <w:bCs/>
          <w:color w:val="FF0000"/>
        </w:rPr>
        <w:t>商务要求”，“无偏离”表示“投标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</w:rPr>
        <w:t>响应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FF0000"/>
        </w:rPr>
        <w:t>与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征集文件</w:t>
      </w:r>
      <w:r>
        <w:rPr>
          <w:rFonts w:hint="eastAsia" w:ascii="宋体" w:hAnsi="宋体" w:eastAsia="宋体" w:cs="宋体"/>
          <w:b/>
          <w:bCs/>
          <w:color w:val="FF0000"/>
        </w:rPr>
        <w:t>商务要求一致”。</w:t>
      </w:r>
    </w:p>
    <w:p w14:paraId="60C3DFC6">
      <w:pPr>
        <w:pStyle w:val="6"/>
        <w:jc w:val="both"/>
        <w:rPr>
          <w:rFonts w:ascii="仿宋_GB2312" w:hAnsi="仿宋_GB2312" w:eastAsia="仿宋_GB2312" w:cs="仿宋_GB2312"/>
          <w:b/>
          <w:bCs/>
        </w:rPr>
      </w:pP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.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商务要求均</w:t>
      </w:r>
      <w:r>
        <w:rPr>
          <w:rFonts w:hint="eastAsia" w:ascii="宋体" w:hAnsi="宋体" w:eastAsia="宋体" w:cs="宋体"/>
          <w:b/>
          <w:bCs/>
          <w:color w:val="FF0000"/>
        </w:rPr>
        <w:t>为不可偏离条款，如未响应或出现负偏离的，将作无效投标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</w:rPr>
        <w:t>响应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FF0000"/>
        </w:rPr>
        <w:t>处理。</w:t>
      </w:r>
    </w:p>
    <w:p w14:paraId="2B9AF1E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3661F7"/>
    <w:rsid w:val="156D10F1"/>
    <w:rsid w:val="1BCC7695"/>
    <w:rsid w:val="1F4F6738"/>
    <w:rsid w:val="1F7653F7"/>
    <w:rsid w:val="21B52DE5"/>
    <w:rsid w:val="283F3B40"/>
    <w:rsid w:val="2F8628E4"/>
    <w:rsid w:val="314309AE"/>
    <w:rsid w:val="4A5A03A2"/>
    <w:rsid w:val="4C757895"/>
    <w:rsid w:val="52004B2C"/>
    <w:rsid w:val="556E48E9"/>
    <w:rsid w:val="59D90B78"/>
    <w:rsid w:val="5AFB08F7"/>
    <w:rsid w:val="5AFB3705"/>
    <w:rsid w:val="5B4A2634"/>
    <w:rsid w:val="76287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1220</Words>
  <Characters>1246</Characters>
  <Lines>0</Lines>
  <Paragraphs>0</Paragraphs>
  <TotalTime>0</TotalTime>
  <ScaleCrop>false</ScaleCrop>
  <LinksUpToDate>false</LinksUpToDate>
  <CharactersWithSpaces>1251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2026-06-01T09:54:00Z</dcterms:created>
  <dc:creator>刘朝ran</dc:creator>
  <cp:lastModifiedBy>吕静</cp:lastModifiedBy>
  <dcterms:modified xsi:type="dcterms:W3CDTF">2026-08-13T09:46:07Z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eyJoZGlkIjoiZTExMzcwNThlZmFkYjk4ZmJiNzFiZTVmZTlhZDMyMWMiLCJ1c2VySWQiOiIzODgxODMzODAifQ==</vt:lpwstr>
  </property>
  <property fmtid="{D5CDD505-2E9C-101B-9397-08002B2CF9AE}" pid="4" name="ICV">
    <vt:lpwstr>9E0C1D312A154E86B8AA80E57DD46F85_12</vt:lpwstr>
  </property>
</Properties>
</file>